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xml:space="preserve">. Dr. </w:t>
      </w:r>
      <w:r w:rsidR="00EB6456">
        <w:rPr>
          <w:rFonts w:ascii="Arial" w:hAnsi="Arial" w:cs="Arial"/>
          <w:sz w:val="22"/>
          <w:szCs w:val="22"/>
        </w:rPr>
        <w:t>EDGAR ALFONSO CADENA DÍAZ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EC5F91">
        <w:rPr>
          <w:rFonts w:ascii="Arial" w:hAnsi="Arial" w:cs="Arial"/>
          <w:color w:val="000000"/>
          <w:sz w:val="22"/>
          <w:szCs w:val="22"/>
          <w:lang w:val="es-ES_tradnl"/>
        </w:rPr>
        <w:t xml:space="preserve"> 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C06C9F">
        <w:rPr>
          <w:rFonts w:ascii="Arial" w:hAnsi="Arial" w:cs="Arial"/>
          <w:color w:val="000000"/>
          <w:sz w:val="22"/>
          <w:szCs w:val="22"/>
          <w:lang w:val="es-ES_tradnl"/>
        </w:rPr>
        <w:t>PABLO FERNANDEZ CAMACHO</w:t>
      </w:r>
      <w:r w:rsidR="00EC5F91">
        <w:rPr>
          <w:rFonts w:ascii="Arial" w:hAnsi="Arial" w:cs="Arial"/>
          <w:color w:val="000000"/>
          <w:sz w:val="22"/>
          <w:szCs w:val="22"/>
          <w:lang w:val="es-ES_tradnl"/>
        </w:rPr>
        <w:t xml:space="preserve"> </w:t>
      </w:r>
      <w:r w:rsidRPr="00184601">
        <w:rPr>
          <w:rFonts w:ascii="Arial" w:hAnsi="Arial" w:cs="Arial"/>
          <w:color w:val="000000"/>
          <w:sz w:val="22"/>
          <w:szCs w:val="22"/>
          <w:lang w:val="es-ES_tradnl"/>
        </w:rPr>
        <w:t xml:space="preserve">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 xml:space="preserve">DEPARTAMENTO DE ARAUCA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00EC5F91">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C06C9F">
        <w:rPr>
          <w:rFonts w:ascii="Arial" w:hAnsi="Arial" w:cs="Arial"/>
          <w:color w:val="000000"/>
          <w:sz w:val="22"/>
          <w:szCs w:val="22"/>
          <w:lang w:val="es-ES_tradnl"/>
        </w:rPr>
        <w:t>JUZGADO PRIMERO ADMINSTRATIVO DE ARAUCA</w:t>
      </w:r>
      <w:r w:rsidR="00EC5F91">
        <w:rPr>
          <w:rFonts w:ascii="Arial" w:hAnsi="Arial" w:cs="Arial"/>
          <w:color w:val="000000"/>
          <w:sz w:val="22"/>
          <w:szCs w:val="22"/>
          <w:lang w:val="es-ES_tradnl"/>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sidR="00783573" w:rsidRPr="00EC5F91">
        <w:rPr>
          <w:rFonts w:ascii="Arial" w:hAnsi="Arial" w:cs="Arial"/>
          <w:b/>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6A332E" w:rsidRPr="00184601" w:rsidRDefault="006A332E" w:rsidP="00045E39">
      <w:pPr>
        <w:jc w:val="both"/>
        <w:rPr>
          <w:rFonts w:ascii="Arial" w:hAnsi="Arial" w:cs="Arial"/>
          <w:sz w:val="23"/>
          <w:szCs w:val="23"/>
        </w:rPr>
      </w:pPr>
    </w:p>
    <w:p w:rsidR="00954501" w:rsidRDefault="00954501"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C06C9F" w:rsidRPr="00C06C9F" w:rsidRDefault="00783573" w:rsidP="00045E39">
      <w:pPr>
        <w:spacing w:line="276" w:lineRule="auto"/>
        <w:jc w:val="both"/>
        <w:rPr>
          <w:rFonts w:ascii="Arial" w:hAnsi="Arial" w:cs="Arial"/>
          <w:sz w:val="22"/>
          <w:szCs w:val="22"/>
        </w:rPr>
      </w:pPr>
      <w:r w:rsidRPr="00C06C9F">
        <w:rPr>
          <w:rFonts w:ascii="Arial" w:hAnsi="Arial" w:cs="Arial"/>
          <w:sz w:val="22"/>
          <w:szCs w:val="22"/>
        </w:rPr>
        <w:t xml:space="preserve">Con el fin de dar cumplimiento al contrato de prestación de servicios No. </w:t>
      </w:r>
      <w:r w:rsidR="00D85175">
        <w:rPr>
          <w:rFonts w:ascii="Arial" w:hAnsi="Arial" w:cs="Arial"/>
          <w:sz w:val="22"/>
          <w:szCs w:val="22"/>
        </w:rPr>
        <w:t>223</w:t>
      </w:r>
      <w:r w:rsidR="006A332E" w:rsidRPr="00C06C9F">
        <w:rPr>
          <w:rFonts w:ascii="Arial" w:hAnsi="Arial" w:cs="Arial"/>
          <w:sz w:val="22"/>
          <w:szCs w:val="22"/>
        </w:rPr>
        <w:t xml:space="preserve"> </w:t>
      </w:r>
      <w:r w:rsidRPr="00C06C9F">
        <w:rPr>
          <w:rFonts w:ascii="Arial" w:hAnsi="Arial" w:cs="Arial"/>
          <w:sz w:val="22"/>
          <w:szCs w:val="22"/>
        </w:rPr>
        <w:t>de 201</w:t>
      </w:r>
      <w:r w:rsidR="006A332E" w:rsidRPr="00C06C9F">
        <w:rPr>
          <w:rFonts w:ascii="Arial" w:hAnsi="Arial" w:cs="Arial"/>
          <w:sz w:val="22"/>
          <w:szCs w:val="22"/>
        </w:rPr>
        <w:t>8</w:t>
      </w:r>
      <w:r w:rsidRPr="00C06C9F">
        <w:rPr>
          <w:rFonts w:ascii="Arial" w:hAnsi="Arial" w:cs="Arial"/>
          <w:sz w:val="22"/>
          <w:szCs w:val="22"/>
        </w:rPr>
        <w:t>, por medio del presente emito concepto jurídico, para que sea tenido en cuenta por el comité de conciliación del Departamento de Arauca al momento de decidir, acerca de la conveniencia de conciliar las pretensiones del</w:t>
      </w:r>
      <w:r w:rsidR="00C06C9F" w:rsidRPr="00C06C9F">
        <w:rPr>
          <w:rFonts w:ascii="Arial" w:hAnsi="Arial" w:cs="Arial"/>
          <w:sz w:val="22"/>
          <w:szCs w:val="22"/>
        </w:rPr>
        <w:t xml:space="preserve"> demandante</w:t>
      </w:r>
      <w:r w:rsidR="00394FEB">
        <w:rPr>
          <w:rFonts w:ascii="Arial" w:hAnsi="Arial" w:cs="Arial"/>
          <w:sz w:val="22"/>
          <w:szCs w:val="22"/>
        </w:rPr>
        <w:t xml:space="preserve">, </w:t>
      </w:r>
      <w:r w:rsidR="00CB2AF3">
        <w:rPr>
          <w:rFonts w:ascii="Arial" w:hAnsi="Arial" w:cs="Arial"/>
          <w:sz w:val="22"/>
          <w:szCs w:val="22"/>
        </w:rPr>
        <w:t xml:space="preserve">señor PABLO FERNÁNDEZ CAMACHO, previo a la concesión del recurso de apelación interpuesto contra el fallo de primera instancia del 05 de septiembre de 2018. </w:t>
      </w:r>
    </w:p>
    <w:p w:rsidR="00C06C9F" w:rsidRDefault="00C06C9F"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La cuantía</w:t>
      </w:r>
      <w:r w:rsidR="00ED5FEF">
        <w:rPr>
          <w:rFonts w:ascii="Arial" w:hAnsi="Arial" w:cs="Arial"/>
          <w:sz w:val="22"/>
          <w:szCs w:val="22"/>
        </w:rPr>
        <w:t>, se estimó</w:t>
      </w:r>
      <w:r w:rsidR="00B8285A">
        <w:rPr>
          <w:rFonts w:ascii="Arial" w:hAnsi="Arial" w:cs="Arial"/>
          <w:sz w:val="22"/>
          <w:szCs w:val="22"/>
        </w:rPr>
        <w:t xml:space="preserve"> en VEINTÚN MILLONES TRESCIENTOS SESENTA Y TRES MIL CUARENTA Y OCHO ($21.363.048) PESOS</w:t>
      </w:r>
      <w:r w:rsidR="00ED5FEF">
        <w:rPr>
          <w:rFonts w:ascii="Arial" w:hAnsi="Arial" w:cs="Arial"/>
          <w:sz w:val="22"/>
          <w:szCs w:val="22"/>
        </w:rPr>
        <w:t xml:space="preserve">. </w:t>
      </w:r>
    </w:p>
    <w:p w:rsidR="00783573" w:rsidRPr="00184601" w:rsidRDefault="00783573" w:rsidP="00045E39">
      <w:pPr>
        <w:jc w:val="both"/>
        <w:rPr>
          <w:rFonts w:ascii="Arial" w:hAnsi="Arial" w:cs="Arial"/>
          <w:sz w:val="24"/>
          <w:szCs w:val="24"/>
        </w:rPr>
      </w:pPr>
    </w:p>
    <w:p w:rsidR="00D701FA" w:rsidRDefault="00D701FA" w:rsidP="00D701FA">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Dentro del </w:t>
      </w:r>
      <w:r w:rsidRPr="00B565CC">
        <w:rPr>
          <w:rFonts w:ascii="Arial" w:eastAsia="Arial Unicode MS" w:hAnsi="Arial" w:cs="Arial"/>
          <w:sz w:val="22"/>
          <w:szCs w:val="22"/>
        </w:rPr>
        <w:t xml:space="preserve">fallo proferido </w:t>
      </w:r>
      <w:r>
        <w:rPr>
          <w:rFonts w:ascii="Arial" w:eastAsia="Arial Unicode MS" w:hAnsi="Arial" w:cs="Arial"/>
          <w:sz w:val="22"/>
          <w:szCs w:val="22"/>
        </w:rPr>
        <w:t xml:space="preserve">por el Juzgado Primero Administrativo de Arauca </w:t>
      </w:r>
      <w:r>
        <w:rPr>
          <w:rFonts w:ascii="Arial" w:eastAsia="Arial Unicode MS" w:hAnsi="Arial" w:cs="Arial"/>
          <w:sz w:val="22"/>
          <w:szCs w:val="22"/>
        </w:rPr>
        <w:t>el 05 de septiembre de 2018,</w:t>
      </w:r>
      <w:r w:rsidRPr="00B565CC">
        <w:rPr>
          <w:rFonts w:ascii="Arial" w:eastAsia="Arial Unicode MS" w:hAnsi="Arial" w:cs="Arial"/>
          <w:sz w:val="22"/>
          <w:szCs w:val="22"/>
        </w:rPr>
        <w:t xml:space="preserve">  </w:t>
      </w:r>
      <w:r>
        <w:rPr>
          <w:rFonts w:ascii="Arial" w:eastAsia="Arial Unicode MS" w:hAnsi="Arial" w:cs="Arial"/>
          <w:sz w:val="22"/>
          <w:szCs w:val="22"/>
        </w:rPr>
        <w:t xml:space="preserve">se </w:t>
      </w:r>
      <w:r w:rsidRPr="00B565CC">
        <w:rPr>
          <w:rFonts w:ascii="Arial" w:eastAsia="Arial Unicode MS" w:hAnsi="Arial" w:cs="Arial"/>
          <w:sz w:val="22"/>
          <w:szCs w:val="22"/>
        </w:rPr>
        <w:t>declaró  no probadas la</w:t>
      </w:r>
      <w:r>
        <w:rPr>
          <w:rFonts w:ascii="Arial" w:eastAsia="Arial Unicode MS" w:hAnsi="Arial" w:cs="Arial"/>
          <w:sz w:val="22"/>
          <w:szCs w:val="22"/>
        </w:rPr>
        <w:t>s</w:t>
      </w:r>
      <w:r w:rsidRPr="00B565CC">
        <w:rPr>
          <w:rFonts w:ascii="Arial" w:eastAsia="Arial Unicode MS" w:hAnsi="Arial" w:cs="Arial"/>
          <w:sz w:val="22"/>
          <w:szCs w:val="22"/>
        </w:rPr>
        <w:t xml:space="preserve"> excepciones propuestas por el Departamento de Arauca</w:t>
      </w:r>
      <w:r>
        <w:rPr>
          <w:rFonts w:ascii="Arial" w:eastAsia="Arial Unicode MS" w:hAnsi="Arial" w:cs="Arial"/>
          <w:sz w:val="22"/>
          <w:szCs w:val="22"/>
        </w:rPr>
        <w:t xml:space="preserve">, esto es inexistencia de la obligación  e inexistencia de responsabilidad administrativa del departamento, </w:t>
      </w:r>
      <w:r>
        <w:rPr>
          <w:rFonts w:ascii="Arial" w:eastAsia="Arial Unicode MS" w:hAnsi="Arial" w:cs="Arial"/>
          <w:sz w:val="22"/>
          <w:szCs w:val="22"/>
        </w:rPr>
        <w:t xml:space="preserve">y en consecuencia declaró la nulidad del oficio 2016030007151-2 del 05 de abril de 2016 suscrito por la Secretaria General y Desarrollo Institucional del Departamento de Arauca, por medio del cual se le negó la petición de reliquidación pensional al demandante; </w:t>
      </w:r>
      <w:r w:rsidRPr="00B565CC">
        <w:rPr>
          <w:rFonts w:ascii="Arial" w:eastAsia="Arial Unicode MS" w:hAnsi="Arial" w:cs="Arial"/>
          <w:sz w:val="22"/>
          <w:szCs w:val="22"/>
        </w:rPr>
        <w:t>a t</w:t>
      </w:r>
      <w:r>
        <w:rPr>
          <w:rFonts w:ascii="Arial" w:eastAsia="Arial Unicode MS" w:hAnsi="Arial" w:cs="Arial"/>
          <w:sz w:val="22"/>
          <w:szCs w:val="22"/>
        </w:rPr>
        <w:t>í</w:t>
      </w:r>
      <w:r w:rsidRPr="00B565CC">
        <w:rPr>
          <w:rFonts w:ascii="Arial" w:eastAsia="Arial Unicode MS" w:hAnsi="Arial" w:cs="Arial"/>
          <w:sz w:val="22"/>
          <w:szCs w:val="22"/>
        </w:rPr>
        <w:t xml:space="preserve">tulo de restablecimiento </w:t>
      </w:r>
      <w:r>
        <w:rPr>
          <w:rFonts w:ascii="Arial" w:eastAsia="Arial Unicode MS" w:hAnsi="Arial" w:cs="Arial"/>
          <w:sz w:val="22"/>
          <w:szCs w:val="22"/>
        </w:rPr>
        <w:t xml:space="preserve">ordenó al Departamento de Arauca </w:t>
      </w:r>
      <w:r w:rsidRPr="00B565CC">
        <w:rPr>
          <w:rFonts w:ascii="Arial" w:eastAsia="Arial Unicode MS" w:hAnsi="Arial" w:cs="Arial"/>
          <w:sz w:val="22"/>
          <w:szCs w:val="22"/>
        </w:rPr>
        <w:t>proced</w:t>
      </w:r>
      <w:r>
        <w:rPr>
          <w:rFonts w:ascii="Arial" w:eastAsia="Arial Unicode MS" w:hAnsi="Arial" w:cs="Arial"/>
          <w:sz w:val="22"/>
          <w:szCs w:val="22"/>
        </w:rPr>
        <w:t xml:space="preserve">er </w:t>
      </w:r>
      <w:r w:rsidRPr="00B565CC">
        <w:rPr>
          <w:rFonts w:ascii="Arial" w:eastAsia="Arial Unicode MS" w:hAnsi="Arial" w:cs="Arial"/>
          <w:sz w:val="22"/>
          <w:szCs w:val="22"/>
        </w:rPr>
        <w:t xml:space="preserve">a reliquidar la pensión de </w:t>
      </w:r>
      <w:r>
        <w:rPr>
          <w:rFonts w:ascii="Arial" w:eastAsia="Arial Unicode MS" w:hAnsi="Arial" w:cs="Arial"/>
          <w:sz w:val="22"/>
          <w:szCs w:val="22"/>
        </w:rPr>
        <w:t xml:space="preserve">vejez al señor PABLO FERNÁNDEZ CAMACHO, </w:t>
      </w:r>
      <w:r w:rsidRPr="00B565CC">
        <w:rPr>
          <w:rFonts w:ascii="Arial" w:eastAsia="Arial Unicode MS" w:hAnsi="Arial" w:cs="Arial"/>
          <w:sz w:val="22"/>
          <w:szCs w:val="22"/>
        </w:rPr>
        <w:t xml:space="preserve">con inclusión de todos los emolumentos laborales devengados por el demandante </w:t>
      </w:r>
      <w:r>
        <w:rPr>
          <w:rFonts w:ascii="Arial" w:eastAsia="Arial Unicode MS" w:hAnsi="Arial" w:cs="Arial"/>
          <w:sz w:val="22"/>
          <w:szCs w:val="22"/>
        </w:rPr>
        <w:t xml:space="preserve">en </w:t>
      </w:r>
      <w:r w:rsidRPr="00B565CC">
        <w:rPr>
          <w:rFonts w:ascii="Arial" w:eastAsia="Arial Unicode MS" w:hAnsi="Arial" w:cs="Arial"/>
          <w:sz w:val="22"/>
          <w:szCs w:val="22"/>
        </w:rPr>
        <w:t xml:space="preserve">el año anterior al retiro, </w:t>
      </w:r>
      <w:r>
        <w:rPr>
          <w:rFonts w:ascii="Arial" w:eastAsia="Arial Unicode MS" w:hAnsi="Arial" w:cs="Arial"/>
          <w:sz w:val="22"/>
          <w:szCs w:val="22"/>
        </w:rPr>
        <w:t xml:space="preserve">esto es, subsidio de alimentación, prima de navidad, prima de servicios, prima de vacaciones, bonificación por servicios prestados y recargos nocturnos; </w:t>
      </w:r>
      <w:r w:rsidRPr="00B565CC">
        <w:rPr>
          <w:rFonts w:ascii="Arial" w:eastAsia="Arial Unicode MS" w:hAnsi="Arial" w:cs="Arial"/>
          <w:sz w:val="22"/>
          <w:szCs w:val="22"/>
        </w:rPr>
        <w:t xml:space="preserve">ordenar al Departamento efectuar los descuentos por concepto de aportes a pensión, sobre los factores reconocidos, siempre </w:t>
      </w:r>
      <w:r>
        <w:rPr>
          <w:rFonts w:ascii="Arial" w:eastAsia="Arial Unicode MS" w:hAnsi="Arial" w:cs="Arial"/>
          <w:sz w:val="22"/>
          <w:szCs w:val="22"/>
        </w:rPr>
        <w:t>y</w:t>
      </w:r>
      <w:r w:rsidRPr="00B565CC">
        <w:rPr>
          <w:rFonts w:ascii="Arial" w:eastAsia="Arial Unicode MS" w:hAnsi="Arial" w:cs="Arial"/>
          <w:sz w:val="22"/>
          <w:szCs w:val="22"/>
        </w:rPr>
        <w:t xml:space="preserve"> cuando </w:t>
      </w:r>
      <w:r>
        <w:rPr>
          <w:rFonts w:ascii="Arial" w:eastAsia="Arial Unicode MS" w:hAnsi="Arial" w:cs="Arial"/>
          <w:sz w:val="22"/>
          <w:szCs w:val="22"/>
        </w:rPr>
        <w:t xml:space="preserve">sobre </w:t>
      </w:r>
      <w:r w:rsidRPr="00B565CC">
        <w:rPr>
          <w:rFonts w:ascii="Arial" w:eastAsia="Arial Unicode MS" w:hAnsi="Arial" w:cs="Arial"/>
          <w:sz w:val="22"/>
          <w:szCs w:val="22"/>
        </w:rPr>
        <w:t>estos no se hubieren realizado tales deducciones.</w:t>
      </w:r>
      <w:r>
        <w:rPr>
          <w:rFonts w:ascii="Arial" w:eastAsia="Arial Unicode MS" w:hAnsi="Arial" w:cs="Arial"/>
          <w:sz w:val="22"/>
          <w:szCs w:val="22"/>
        </w:rPr>
        <w:t xml:space="preserve"> También se resolvió c</w:t>
      </w:r>
      <w:r w:rsidRPr="00B565CC">
        <w:rPr>
          <w:rFonts w:ascii="Arial" w:eastAsia="Arial Unicode MS" w:hAnsi="Arial" w:cs="Arial"/>
          <w:sz w:val="22"/>
          <w:szCs w:val="22"/>
        </w:rPr>
        <w:t xml:space="preserve">ondenar </w:t>
      </w:r>
      <w:r>
        <w:rPr>
          <w:rFonts w:ascii="Arial" w:eastAsia="Arial Unicode MS" w:hAnsi="Arial" w:cs="Arial"/>
          <w:sz w:val="22"/>
          <w:szCs w:val="22"/>
        </w:rPr>
        <w:t>a</w:t>
      </w:r>
      <w:r w:rsidRPr="00B565CC">
        <w:rPr>
          <w:rFonts w:ascii="Arial" w:eastAsia="Arial Unicode MS" w:hAnsi="Arial" w:cs="Arial"/>
          <w:sz w:val="22"/>
          <w:szCs w:val="22"/>
        </w:rPr>
        <w:t xml:space="preserve">l Departamento  a </w:t>
      </w:r>
      <w:r w:rsidRPr="00B565CC">
        <w:rPr>
          <w:rFonts w:ascii="Arial" w:eastAsia="Arial Unicode MS" w:hAnsi="Arial" w:cs="Arial"/>
          <w:sz w:val="22"/>
          <w:szCs w:val="22"/>
        </w:rPr>
        <w:lastRenderedPageBreak/>
        <w:t xml:space="preserve">pagar al demandante la suma equivalente a la diferencia que resulte entre las mesadas que le fueron pagadas a partir del </w:t>
      </w:r>
      <w:r>
        <w:rPr>
          <w:rFonts w:ascii="Arial" w:eastAsia="Arial Unicode MS" w:hAnsi="Arial" w:cs="Arial"/>
          <w:sz w:val="22"/>
          <w:szCs w:val="22"/>
        </w:rPr>
        <w:t>18</w:t>
      </w:r>
      <w:r w:rsidRPr="00B565CC">
        <w:rPr>
          <w:rFonts w:ascii="Arial" w:eastAsia="Arial Unicode MS" w:hAnsi="Arial" w:cs="Arial"/>
          <w:sz w:val="22"/>
          <w:szCs w:val="22"/>
        </w:rPr>
        <w:t xml:space="preserve"> de </w:t>
      </w:r>
      <w:r>
        <w:rPr>
          <w:rFonts w:ascii="Arial" w:eastAsia="Arial Unicode MS" w:hAnsi="Arial" w:cs="Arial"/>
          <w:sz w:val="22"/>
          <w:szCs w:val="22"/>
        </w:rPr>
        <w:t xml:space="preserve">febrero </w:t>
      </w:r>
      <w:r w:rsidRPr="00B565CC">
        <w:rPr>
          <w:rFonts w:ascii="Arial" w:eastAsia="Arial Unicode MS" w:hAnsi="Arial" w:cs="Arial"/>
          <w:sz w:val="22"/>
          <w:szCs w:val="22"/>
        </w:rPr>
        <w:t>de 201</w:t>
      </w:r>
      <w:r>
        <w:rPr>
          <w:rFonts w:ascii="Arial" w:eastAsia="Arial Unicode MS" w:hAnsi="Arial" w:cs="Arial"/>
          <w:sz w:val="22"/>
          <w:szCs w:val="22"/>
        </w:rPr>
        <w:t>3</w:t>
      </w:r>
      <w:r w:rsidRPr="00B565CC">
        <w:rPr>
          <w:rFonts w:ascii="Arial" w:eastAsia="Arial Unicode MS" w:hAnsi="Arial" w:cs="Arial"/>
          <w:sz w:val="22"/>
          <w:szCs w:val="22"/>
        </w:rPr>
        <w:t xml:space="preserve"> y las que debieron haber sido pagadas en caso de haberse liquidado la pensión en debida forma, valores que debe</w:t>
      </w:r>
      <w:r>
        <w:rPr>
          <w:rFonts w:ascii="Arial" w:eastAsia="Arial Unicode MS" w:hAnsi="Arial" w:cs="Arial"/>
          <w:sz w:val="22"/>
          <w:szCs w:val="22"/>
        </w:rPr>
        <w:t>rá</w:t>
      </w:r>
      <w:r w:rsidRPr="00B565CC">
        <w:rPr>
          <w:rFonts w:ascii="Arial" w:eastAsia="Arial Unicode MS" w:hAnsi="Arial" w:cs="Arial"/>
          <w:sz w:val="22"/>
          <w:szCs w:val="22"/>
        </w:rPr>
        <w:t xml:space="preserve">n </w:t>
      </w:r>
      <w:r>
        <w:rPr>
          <w:rFonts w:ascii="Arial" w:eastAsia="Arial Unicode MS" w:hAnsi="Arial" w:cs="Arial"/>
          <w:sz w:val="22"/>
          <w:szCs w:val="22"/>
        </w:rPr>
        <w:t xml:space="preserve">ser </w:t>
      </w:r>
      <w:r w:rsidRPr="00B565CC">
        <w:rPr>
          <w:rFonts w:ascii="Arial" w:eastAsia="Arial Unicode MS" w:hAnsi="Arial" w:cs="Arial"/>
          <w:sz w:val="22"/>
          <w:szCs w:val="22"/>
        </w:rPr>
        <w:t>indexa</w:t>
      </w:r>
      <w:r>
        <w:rPr>
          <w:rFonts w:ascii="Arial" w:eastAsia="Arial Unicode MS" w:hAnsi="Arial" w:cs="Arial"/>
          <w:sz w:val="22"/>
          <w:szCs w:val="22"/>
        </w:rPr>
        <w:t>dos</w:t>
      </w:r>
      <w:r w:rsidRPr="00B565CC">
        <w:rPr>
          <w:rFonts w:ascii="Arial" w:eastAsia="Arial Unicode MS" w:hAnsi="Arial" w:cs="Arial"/>
          <w:sz w:val="22"/>
          <w:szCs w:val="22"/>
        </w:rPr>
        <w:t>.</w:t>
      </w:r>
    </w:p>
    <w:p w:rsidR="00D701FA" w:rsidRDefault="00D701FA" w:rsidP="00D701FA">
      <w:pPr>
        <w:spacing w:line="276" w:lineRule="auto"/>
        <w:jc w:val="both"/>
        <w:rPr>
          <w:rFonts w:ascii="Arial" w:eastAsia="Arial Unicode MS" w:hAnsi="Arial" w:cs="Arial"/>
          <w:sz w:val="22"/>
          <w:szCs w:val="22"/>
        </w:rPr>
      </w:pPr>
    </w:p>
    <w:p w:rsidR="00D701FA" w:rsidRPr="00701C3F" w:rsidRDefault="00D701FA" w:rsidP="00D701FA">
      <w:pPr>
        <w:spacing w:line="276" w:lineRule="auto"/>
        <w:jc w:val="both"/>
        <w:rPr>
          <w:rFonts w:ascii="Arial" w:eastAsia="Arial Unicode MS" w:hAnsi="Arial" w:cs="Arial"/>
          <w:sz w:val="22"/>
          <w:szCs w:val="22"/>
        </w:rPr>
      </w:pPr>
      <w:r>
        <w:rPr>
          <w:rFonts w:ascii="Arial" w:eastAsia="Arial Unicode MS" w:hAnsi="Arial" w:cs="Arial"/>
          <w:sz w:val="22"/>
          <w:szCs w:val="22"/>
        </w:rPr>
        <w:t>Por lo anterior, s</w:t>
      </w:r>
      <w:r>
        <w:rPr>
          <w:rFonts w:ascii="Arial" w:eastAsia="Arial Unicode MS" w:hAnsi="Arial" w:cs="Arial"/>
          <w:sz w:val="22"/>
          <w:szCs w:val="22"/>
        </w:rPr>
        <w:t xml:space="preserve">e recurre el fallo proferido, cuestionando su numeral tercero, </w:t>
      </w:r>
      <w:r w:rsidRPr="00B565CC">
        <w:rPr>
          <w:rFonts w:ascii="Arial" w:eastAsia="Arial Unicode MS" w:hAnsi="Arial" w:cs="Arial"/>
          <w:sz w:val="22"/>
          <w:szCs w:val="22"/>
        </w:rPr>
        <w:t>en</w:t>
      </w:r>
      <w:r>
        <w:rPr>
          <w:rFonts w:ascii="Arial" w:eastAsia="Arial Unicode MS" w:hAnsi="Arial" w:cs="Arial"/>
          <w:sz w:val="22"/>
          <w:szCs w:val="22"/>
        </w:rPr>
        <w:t xml:space="preserve"> el cual </w:t>
      </w:r>
      <w:r w:rsidRPr="00B565CC">
        <w:rPr>
          <w:rFonts w:ascii="Arial" w:eastAsia="Arial Unicode MS" w:hAnsi="Arial" w:cs="Arial"/>
          <w:sz w:val="22"/>
          <w:szCs w:val="22"/>
        </w:rPr>
        <w:t xml:space="preserve">el señor Juez ordenó al Departamento </w:t>
      </w:r>
      <w:r>
        <w:rPr>
          <w:rFonts w:ascii="Arial" w:eastAsia="Arial Unicode MS" w:hAnsi="Arial" w:cs="Arial"/>
          <w:sz w:val="22"/>
          <w:szCs w:val="22"/>
        </w:rPr>
        <w:t xml:space="preserve">de Arauca, </w:t>
      </w:r>
      <w:r w:rsidRPr="00B565CC">
        <w:rPr>
          <w:rFonts w:ascii="Arial" w:eastAsia="Arial Unicode MS" w:hAnsi="Arial" w:cs="Arial"/>
          <w:sz w:val="22"/>
          <w:szCs w:val="22"/>
        </w:rPr>
        <w:t>proceder a reliquida</w:t>
      </w:r>
      <w:r>
        <w:rPr>
          <w:rFonts w:ascii="Arial" w:eastAsia="Arial Unicode MS" w:hAnsi="Arial" w:cs="Arial"/>
          <w:sz w:val="22"/>
          <w:szCs w:val="22"/>
        </w:rPr>
        <w:t xml:space="preserve">r </w:t>
      </w:r>
      <w:r w:rsidRPr="00B565CC">
        <w:rPr>
          <w:rFonts w:ascii="Arial" w:eastAsia="Arial Unicode MS" w:hAnsi="Arial" w:cs="Arial"/>
          <w:sz w:val="22"/>
          <w:szCs w:val="22"/>
        </w:rPr>
        <w:t xml:space="preserve">la pensión </w:t>
      </w:r>
      <w:r>
        <w:rPr>
          <w:rFonts w:ascii="Arial" w:eastAsia="Arial Unicode MS" w:hAnsi="Arial" w:cs="Arial"/>
          <w:sz w:val="22"/>
          <w:szCs w:val="22"/>
        </w:rPr>
        <w:t xml:space="preserve">de vejez </w:t>
      </w:r>
      <w:r w:rsidRPr="00B565CC">
        <w:rPr>
          <w:rFonts w:ascii="Arial" w:eastAsia="Arial Unicode MS" w:hAnsi="Arial" w:cs="Arial"/>
          <w:sz w:val="22"/>
          <w:szCs w:val="22"/>
        </w:rPr>
        <w:t xml:space="preserve">del señor </w:t>
      </w:r>
      <w:r>
        <w:rPr>
          <w:rFonts w:ascii="Arial" w:eastAsia="Arial Unicode MS" w:hAnsi="Arial" w:cs="Arial"/>
          <w:sz w:val="22"/>
          <w:szCs w:val="22"/>
        </w:rPr>
        <w:t xml:space="preserve">PABLO FERNÁNDEZ CAMACHO, </w:t>
      </w:r>
      <w:r w:rsidRPr="00B565CC">
        <w:rPr>
          <w:rFonts w:ascii="Arial" w:eastAsia="Arial Unicode MS" w:hAnsi="Arial" w:cs="Arial"/>
          <w:sz w:val="22"/>
          <w:szCs w:val="22"/>
        </w:rPr>
        <w:t xml:space="preserve">con la inclusión de todos los emolumentos laborales </w:t>
      </w:r>
      <w:r w:rsidRPr="00701C3F">
        <w:rPr>
          <w:rFonts w:ascii="Arial" w:eastAsia="Arial Unicode MS" w:hAnsi="Arial" w:cs="Arial"/>
          <w:sz w:val="22"/>
          <w:szCs w:val="22"/>
        </w:rPr>
        <w:t>devengados por el mismo en el año anterior al retiro, incluyendo subsidio de alimentación, prima de navidad, prima de servicios, prima de vacaciones, bonificación por servicios prestados y recargos nocturnos.</w:t>
      </w:r>
    </w:p>
    <w:p w:rsidR="007339F3" w:rsidRDefault="007339F3" w:rsidP="00162423">
      <w:pPr>
        <w:spacing w:line="276" w:lineRule="auto"/>
        <w:jc w:val="both"/>
        <w:rPr>
          <w:rFonts w:ascii="Arial" w:hAnsi="Arial" w:cs="Arial"/>
          <w:sz w:val="22"/>
          <w:szCs w:val="22"/>
        </w:rPr>
      </w:pPr>
    </w:p>
    <w:p w:rsidR="00DA3050" w:rsidRPr="00B565CC" w:rsidRDefault="00DA3050" w:rsidP="00DA3050">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Sin embargo, tanto en la contestación de la demanda como en las respectivas alegaciones </w:t>
      </w:r>
      <w:r w:rsidRPr="00B565CC">
        <w:rPr>
          <w:rFonts w:ascii="Arial" w:eastAsia="Arial Unicode MS" w:hAnsi="Arial" w:cs="Arial"/>
          <w:sz w:val="22"/>
          <w:szCs w:val="22"/>
        </w:rPr>
        <w:t>presentadas por el Departamento</w:t>
      </w:r>
      <w:r>
        <w:rPr>
          <w:rFonts w:ascii="Arial" w:eastAsia="Arial Unicode MS" w:hAnsi="Arial" w:cs="Arial"/>
          <w:sz w:val="22"/>
          <w:szCs w:val="22"/>
        </w:rPr>
        <w:t xml:space="preserve">, </w:t>
      </w:r>
      <w:r w:rsidRPr="00B565CC">
        <w:rPr>
          <w:rFonts w:ascii="Arial" w:eastAsia="Arial Unicode MS" w:hAnsi="Arial" w:cs="Arial"/>
          <w:sz w:val="22"/>
          <w:szCs w:val="22"/>
        </w:rPr>
        <w:t xml:space="preserve">se </w:t>
      </w:r>
      <w:r>
        <w:rPr>
          <w:rFonts w:ascii="Arial" w:eastAsia="Arial Unicode MS" w:hAnsi="Arial" w:cs="Arial"/>
          <w:sz w:val="22"/>
          <w:szCs w:val="22"/>
        </w:rPr>
        <w:t xml:space="preserve">enfatizó </w:t>
      </w:r>
      <w:r w:rsidRPr="00B565CC">
        <w:rPr>
          <w:rFonts w:ascii="Arial" w:eastAsia="Arial Unicode MS" w:hAnsi="Arial" w:cs="Arial"/>
          <w:sz w:val="22"/>
          <w:szCs w:val="22"/>
        </w:rPr>
        <w:t xml:space="preserve">que la pensión </w:t>
      </w:r>
      <w:r>
        <w:rPr>
          <w:rFonts w:ascii="Arial" w:eastAsia="Arial Unicode MS" w:hAnsi="Arial" w:cs="Arial"/>
          <w:sz w:val="22"/>
          <w:szCs w:val="22"/>
        </w:rPr>
        <w:t xml:space="preserve">de vejez reconocida al señor PABLO FERNÁNDEZ CAMACHO, </w:t>
      </w:r>
      <w:r w:rsidRPr="00B565CC">
        <w:rPr>
          <w:rFonts w:ascii="Arial" w:eastAsia="Arial Unicode MS" w:hAnsi="Arial" w:cs="Arial"/>
          <w:sz w:val="22"/>
          <w:szCs w:val="22"/>
        </w:rPr>
        <w:t xml:space="preserve">se realizó de conformidad  con la </w:t>
      </w:r>
      <w:r>
        <w:rPr>
          <w:rFonts w:ascii="Arial" w:eastAsia="Arial Unicode MS" w:hAnsi="Arial" w:cs="Arial"/>
          <w:sz w:val="22"/>
          <w:szCs w:val="22"/>
        </w:rPr>
        <w:t>L</w:t>
      </w:r>
      <w:r w:rsidRPr="00B565CC">
        <w:rPr>
          <w:rFonts w:ascii="Arial" w:eastAsia="Arial Unicode MS" w:hAnsi="Arial" w:cs="Arial"/>
          <w:sz w:val="22"/>
          <w:szCs w:val="22"/>
        </w:rPr>
        <w:t xml:space="preserve">ey 33 </w:t>
      </w:r>
      <w:r>
        <w:rPr>
          <w:rFonts w:ascii="Arial" w:eastAsia="Arial Unicode MS" w:hAnsi="Arial" w:cs="Arial"/>
          <w:sz w:val="22"/>
          <w:szCs w:val="22"/>
        </w:rPr>
        <w:t xml:space="preserve">y </w:t>
      </w:r>
      <w:r w:rsidRPr="00B565CC">
        <w:rPr>
          <w:rFonts w:ascii="Arial" w:eastAsia="Arial Unicode MS" w:hAnsi="Arial" w:cs="Arial"/>
          <w:sz w:val="22"/>
          <w:szCs w:val="22"/>
        </w:rPr>
        <w:t>62 de 1985</w:t>
      </w:r>
      <w:r>
        <w:rPr>
          <w:rFonts w:ascii="Arial" w:eastAsia="Arial Unicode MS" w:hAnsi="Arial" w:cs="Arial"/>
          <w:sz w:val="22"/>
          <w:szCs w:val="22"/>
        </w:rPr>
        <w:t xml:space="preserve">, tomando para ello </w:t>
      </w:r>
      <w:r w:rsidRPr="00B565CC">
        <w:rPr>
          <w:rFonts w:ascii="Arial" w:eastAsia="Arial Unicode MS" w:hAnsi="Arial" w:cs="Arial"/>
          <w:sz w:val="22"/>
          <w:szCs w:val="22"/>
        </w:rPr>
        <w:t xml:space="preserve">los factores salariales </w:t>
      </w:r>
      <w:r>
        <w:rPr>
          <w:rFonts w:ascii="Arial" w:eastAsia="Arial Unicode MS" w:hAnsi="Arial" w:cs="Arial"/>
          <w:sz w:val="22"/>
          <w:szCs w:val="22"/>
        </w:rPr>
        <w:t xml:space="preserve">por los cuales </w:t>
      </w:r>
      <w:r w:rsidRPr="00B565CC">
        <w:rPr>
          <w:rFonts w:ascii="Arial" w:eastAsia="Arial Unicode MS" w:hAnsi="Arial" w:cs="Arial"/>
          <w:sz w:val="22"/>
          <w:szCs w:val="22"/>
        </w:rPr>
        <w:t>aporto en el último año de servicio</w:t>
      </w:r>
      <w:r>
        <w:rPr>
          <w:rFonts w:ascii="Arial" w:eastAsia="Arial Unicode MS" w:hAnsi="Arial" w:cs="Arial"/>
          <w:sz w:val="22"/>
          <w:szCs w:val="22"/>
        </w:rPr>
        <w:t xml:space="preserve">, </w:t>
      </w:r>
      <w:r w:rsidRPr="00B565CC">
        <w:rPr>
          <w:rFonts w:ascii="Arial" w:eastAsia="Arial Unicode MS" w:hAnsi="Arial" w:cs="Arial"/>
          <w:sz w:val="22"/>
          <w:szCs w:val="22"/>
        </w:rPr>
        <w:t>y</w:t>
      </w:r>
      <w:r>
        <w:rPr>
          <w:rFonts w:ascii="Arial" w:eastAsia="Arial Unicode MS" w:hAnsi="Arial" w:cs="Arial"/>
          <w:sz w:val="22"/>
          <w:szCs w:val="22"/>
        </w:rPr>
        <w:t>a</w:t>
      </w:r>
      <w:r w:rsidRPr="00B565CC">
        <w:rPr>
          <w:rFonts w:ascii="Arial" w:eastAsia="Arial Unicode MS" w:hAnsi="Arial" w:cs="Arial"/>
          <w:sz w:val="22"/>
          <w:szCs w:val="22"/>
        </w:rPr>
        <w:t xml:space="preserve"> que no debe confundirse factores salariales con prestaciones sociales, sin que pueda considerarse que una prestación social pueda incluirse dentro del otorgamiento de una pensión de jubilación o su reliquidación.</w:t>
      </w:r>
    </w:p>
    <w:p w:rsidR="00DA3050" w:rsidRPr="00B565CC" w:rsidRDefault="00DA3050" w:rsidP="00DA3050">
      <w:pPr>
        <w:spacing w:line="276" w:lineRule="auto"/>
        <w:jc w:val="both"/>
        <w:rPr>
          <w:rFonts w:ascii="Arial" w:eastAsia="Arial Unicode MS" w:hAnsi="Arial" w:cs="Arial"/>
          <w:sz w:val="22"/>
          <w:szCs w:val="22"/>
        </w:rPr>
      </w:pPr>
    </w:p>
    <w:p w:rsidR="00DA3050" w:rsidRDefault="00DA3050" w:rsidP="00DA3050">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En el fallo impugnado, se </w:t>
      </w:r>
      <w:r w:rsidRPr="00B565CC">
        <w:rPr>
          <w:rFonts w:ascii="Arial" w:eastAsia="Arial Unicode MS" w:hAnsi="Arial" w:cs="Arial"/>
          <w:sz w:val="22"/>
          <w:szCs w:val="22"/>
        </w:rPr>
        <w:t>relaciona</w:t>
      </w:r>
      <w:r>
        <w:rPr>
          <w:rFonts w:ascii="Arial" w:eastAsia="Arial Unicode MS" w:hAnsi="Arial" w:cs="Arial"/>
          <w:sz w:val="22"/>
          <w:szCs w:val="22"/>
        </w:rPr>
        <w:t>n</w:t>
      </w:r>
      <w:r w:rsidRPr="00B565CC">
        <w:rPr>
          <w:rFonts w:ascii="Arial" w:eastAsia="Arial Unicode MS" w:hAnsi="Arial" w:cs="Arial"/>
          <w:sz w:val="22"/>
          <w:szCs w:val="22"/>
        </w:rPr>
        <w:t xml:space="preserve"> varias posiciones del Consejo de Estado al respecto</w:t>
      </w:r>
      <w:r>
        <w:rPr>
          <w:rFonts w:ascii="Arial" w:eastAsia="Arial Unicode MS" w:hAnsi="Arial" w:cs="Arial"/>
          <w:sz w:val="22"/>
          <w:szCs w:val="22"/>
        </w:rPr>
        <w:t xml:space="preserve">, </w:t>
      </w:r>
      <w:r w:rsidRPr="00B565CC">
        <w:rPr>
          <w:rFonts w:ascii="Arial" w:eastAsia="Arial Unicode MS" w:hAnsi="Arial" w:cs="Arial"/>
          <w:sz w:val="22"/>
          <w:szCs w:val="22"/>
        </w:rPr>
        <w:t>tesis que oblig</w:t>
      </w:r>
      <w:r>
        <w:rPr>
          <w:rFonts w:ascii="Arial" w:eastAsia="Arial Unicode MS" w:hAnsi="Arial" w:cs="Arial"/>
          <w:sz w:val="22"/>
          <w:szCs w:val="22"/>
        </w:rPr>
        <w:t xml:space="preserve">aron </w:t>
      </w:r>
      <w:r w:rsidRPr="00B565CC">
        <w:rPr>
          <w:rFonts w:ascii="Arial" w:eastAsia="Arial Unicode MS" w:hAnsi="Arial" w:cs="Arial"/>
          <w:sz w:val="22"/>
          <w:szCs w:val="22"/>
        </w:rPr>
        <w:t xml:space="preserve">a expedir una sentencia de unificación de criterio, que según expone el mismo juzgado retomo  a la primer tesis que considera que  la pensión debía liquidarse teniendo en cuenta todos los factores percibidos por el empleado durante el último año como retribución de su servicio, </w:t>
      </w:r>
      <w:r w:rsidRPr="00D42D05">
        <w:rPr>
          <w:rFonts w:ascii="Arial" w:eastAsia="Arial Unicode MS" w:hAnsi="Arial" w:cs="Arial"/>
          <w:sz w:val="22"/>
          <w:szCs w:val="22"/>
        </w:rPr>
        <w:t>salvo que estuviere excluido  de manera expresa por la ley, incluso si sobre  dichos factores  no se hubier</w:t>
      </w:r>
      <w:r>
        <w:rPr>
          <w:rFonts w:ascii="Arial" w:eastAsia="Arial Unicode MS" w:hAnsi="Arial" w:cs="Arial"/>
          <w:sz w:val="22"/>
          <w:szCs w:val="22"/>
        </w:rPr>
        <w:t>e</w:t>
      </w:r>
      <w:r w:rsidRPr="00D42D05">
        <w:rPr>
          <w:rFonts w:ascii="Arial" w:eastAsia="Arial Unicode MS" w:hAnsi="Arial" w:cs="Arial"/>
          <w:sz w:val="22"/>
          <w:szCs w:val="22"/>
        </w:rPr>
        <w:t>n efectuado aportes</w:t>
      </w:r>
      <w:r>
        <w:rPr>
          <w:rFonts w:ascii="Arial" w:eastAsia="Arial Unicode MS" w:hAnsi="Arial" w:cs="Arial"/>
          <w:sz w:val="22"/>
          <w:szCs w:val="22"/>
        </w:rPr>
        <w:t xml:space="preserve">. </w:t>
      </w:r>
    </w:p>
    <w:p w:rsidR="00DA3050" w:rsidRPr="00B565CC" w:rsidRDefault="00DA3050" w:rsidP="00DA3050">
      <w:pPr>
        <w:spacing w:line="276" w:lineRule="auto"/>
        <w:jc w:val="both"/>
        <w:rPr>
          <w:rFonts w:ascii="Arial" w:eastAsia="Arial Unicode MS" w:hAnsi="Arial" w:cs="Arial"/>
          <w:b/>
          <w:sz w:val="22"/>
          <w:szCs w:val="22"/>
        </w:rPr>
      </w:pPr>
    </w:p>
    <w:p w:rsidR="00DA3050" w:rsidRPr="00B565CC" w:rsidRDefault="00DA3050" w:rsidP="00DA3050">
      <w:pPr>
        <w:spacing w:line="276" w:lineRule="auto"/>
        <w:jc w:val="both"/>
        <w:rPr>
          <w:rFonts w:ascii="Arial" w:eastAsia="Arial Unicode MS" w:hAnsi="Arial" w:cs="Arial"/>
          <w:sz w:val="22"/>
          <w:szCs w:val="22"/>
        </w:rPr>
      </w:pPr>
      <w:r w:rsidRPr="00B565CC">
        <w:rPr>
          <w:rFonts w:ascii="Arial" w:eastAsia="Arial Unicode MS" w:hAnsi="Arial" w:cs="Arial"/>
          <w:sz w:val="22"/>
          <w:szCs w:val="22"/>
        </w:rPr>
        <w:t>El Departamento considera  que los factores salariales  que se deben considerar  para efectos pensionales son los señalados por la ley sobre los cuales es imperativo cumplir  y ningún factor salarial diferente  puede ser válidamente incluido en la liquidación de la pensión.</w:t>
      </w:r>
    </w:p>
    <w:p w:rsidR="00DA3050" w:rsidRPr="00B565CC" w:rsidRDefault="00DA3050" w:rsidP="00DA3050">
      <w:pPr>
        <w:spacing w:line="276" w:lineRule="auto"/>
        <w:jc w:val="both"/>
        <w:rPr>
          <w:rFonts w:ascii="Arial" w:eastAsia="Arial Unicode MS" w:hAnsi="Arial" w:cs="Arial"/>
          <w:sz w:val="22"/>
          <w:szCs w:val="22"/>
        </w:rPr>
      </w:pPr>
    </w:p>
    <w:p w:rsidR="00DA3050" w:rsidRPr="00B565CC" w:rsidRDefault="00DA3050" w:rsidP="00DA3050">
      <w:pPr>
        <w:spacing w:line="276" w:lineRule="auto"/>
        <w:jc w:val="both"/>
        <w:rPr>
          <w:rFonts w:ascii="Arial" w:eastAsia="Arial Unicode MS" w:hAnsi="Arial" w:cs="Arial"/>
          <w:sz w:val="22"/>
          <w:szCs w:val="22"/>
        </w:rPr>
      </w:pPr>
      <w:r w:rsidRPr="00B565CC">
        <w:rPr>
          <w:rFonts w:ascii="Arial" w:eastAsia="Arial Unicode MS" w:hAnsi="Arial" w:cs="Arial"/>
          <w:sz w:val="22"/>
          <w:szCs w:val="22"/>
        </w:rPr>
        <w:t>Admitir que todos los factores  salariales pueden considerarse como base de liquidación pensional, es quitarle el efecto útil del listado establecido por el legislador, en las leyes 33 y 62 de 1985, para la liquidación de pensiones de empleados oficiales e iría en contra del sentido común</w:t>
      </w:r>
      <w:r>
        <w:rPr>
          <w:rFonts w:ascii="Arial" w:eastAsia="Arial Unicode MS" w:hAnsi="Arial" w:cs="Arial"/>
          <w:sz w:val="22"/>
          <w:szCs w:val="22"/>
        </w:rPr>
        <w:t xml:space="preserve">, </w:t>
      </w:r>
      <w:r w:rsidRPr="00B565CC">
        <w:rPr>
          <w:rFonts w:ascii="Arial" w:eastAsia="Arial Unicode MS" w:hAnsi="Arial" w:cs="Arial"/>
          <w:sz w:val="22"/>
          <w:szCs w:val="22"/>
        </w:rPr>
        <w:t xml:space="preserve">pensar que el Congreso enlisto ciertos factores salariales de liquidación pensional, para llegar a la conclusión de que </w:t>
      </w:r>
      <w:r>
        <w:rPr>
          <w:rFonts w:ascii="Arial" w:eastAsia="Arial Unicode MS" w:hAnsi="Arial" w:cs="Arial"/>
          <w:sz w:val="22"/>
          <w:szCs w:val="22"/>
        </w:rPr>
        <w:t>t</w:t>
      </w:r>
      <w:r w:rsidRPr="00B565CC">
        <w:rPr>
          <w:rFonts w:ascii="Arial" w:eastAsia="Arial Unicode MS" w:hAnsi="Arial" w:cs="Arial"/>
          <w:sz w:val="22"/>
          <w:szCs w:val="22"/>
        </w:rPr>
        <w:t>odos puedan incluirse.</w:t>
      </w:r>
    </w:p>
    <w:p w:rsidR="00DA3050" w:rsidRDefault="00DA3050" w:rsidP="00DA3050">
      <w:pPr>
        <w:spacing w:line="276" w:lineRule="auto"/>
        <w:jc w:val="both"/>
        <w:rPr>
          <w:rFonts w:ascii="Arial" w:eastAsia="Arial Unicode MS" w:hAnsi="Arial" w:cs="Arial"/>
          <w:sz w:val="22"/>
          <w:szCs w:val="22"/>
        </w:rPr>
      </w:pPr>
      <w:r w:rsidRPr="00B565CC">
        <w:rPr>
          <w:rFonts w:ascii="Arial" w:eastAsia="Arial Unicode MS" w:hAnsi="Arial" w:cs="Arial"/>
          <w:sz w:val="22"/>
          <w:szCs w:val="22"/>
        </w:rPr>
        <w:lastRenderedPageBreak/>
        <w:t>Así también lo dispuso  el artículo 6 del decreto 691 de 1994 que determino los factores salariales para liquidaciones pensionales y dentro de ellos no se encuentran ni la PRIMA DE NAVIDAD ni  LA PRIMA DE VACACIONES.</w:t>
      </w:r>
    </w:p>
    <w:p w:rsidR="00DA3050" w:rsidRPr="00B565CC" w:rsidRDefault="00DA3050" w:rsidP="00DA3050">
      <w:pPr>
        <w:spacing w:line="276" w:lineRule="auto"/>
        <w:jc w:val="both"/>
        <w:rPr>
          <w:rFonts w:ascii="Arial" w:eastAsia="Arial Unicode MS" w:hAnsi="Arial" w:cs="Arial"/>
          <w:sz w:val="22"/>
          <w:szCs w:val="22"/>
        </w:rPr>
      </w:pPr>
    </w:p>
    <w:p w:rsidR="00DA3050" w:rsidRPr="00B565CC" w:rsidRDefault="00DA3050" w:rsidP="00DA3050">
      <w:pPr>
        <w:spacing w:line="276" w:lineRule="auto"/>
        <w:jc w:val="both"/>
        <w:rPr>
          <w:rFonts w:ascii="Arial" w:eastAsia="Arial Unicode MS" w:hAnsi="Arial" w:cs="Arial"/>
          <w:sz w:val="22"/>
          <w:szCs w:val="22"/>
        </w:rPr>
      </w:pPr>
      <w:r w:rsidRPr="00B565CC">
        <w:rPr>
          <w:rFonts w:ascii="Arial" w:eastAsia="Arial Unicode MS" w:hAnsi="Arial" w:cs="Arial"/>
          <w:sz w:val="22"/>
          <w:szCs w:val="22"/>
        </w:rPr>
        <w:t>La ley debe aplicarse en su integralidad y no le está permitido al Juez elegir de cada una la más ventajosa, o crear unas nuevas, pues de lo contrario se estaría convirtiendo en legislador.</w:t>
      </w:r>
    </w:p>
    <w:p w:rsidR="00DA3050" w:rsidRDefault="00DA3050" w:rsidP="00DA3050">
      <w:pPr>
        <w:spacing w:line="276" w:lineRule="auto"/>
        <w:jc w:val="both"/>
        <w:rPr>
          <w:rFonts w:ascii="Arial" w:eastAsia="Arial Unicode MS" w:hAnsi="Arial" w:cs="Arial"/>
          <w:sz w:val="22"/>
          <w:szCs w:val="22"/>
        </w:rPr>
      </w:pPr>
    </w:p>
    <w:p w:rsidR="00DA3050" w:rsidRPr="00B565CC" w:rsidRDefault="00DA3050" w:rsidP="00DA3050">
      <w:pPr>
        <w:spacing w:line="276" w:lineRule="auto"/>
        <w:contextualSpacing/>
        <w:jc w:val="both"/>
        <w:rPr>
          <w:rFonts w:ascii="Arial" w:hAnsi="Arial" w:cs="Arial"/>
          <w:sz w:val="22"/>
          <w:szCs w:val="22"/>
        </w:rPr>
      </w:pPr>
      <w:r w:rsidRPr="00B565CC">
        <w:rPr>
          <w:rFonts w:ascii="Arial" w:hAnsi="Arial" w:cs="Arial"/>
          <w:sz w:val="22"/>
          <w:szCs w:val="22"/>
        </w:rPr>
        <w:t>P</w:t>
      </w:r>
      <w:r>
        <w:rPr>
          <w:rFonts w:ascii="Arial" w:hAnsi="Arial" w:cs="Arial"/>
          <w:sz w:val="22"/>
          <w:szCs w:val="22"/>
        </w:rPr>
        <w:t xml:space="preserve">or otra parte, </w:t>
      </w:r>
      <w:r w:rsidRPr="00B565CC">
        <w:rPr>
          <w:rFonts w:ascii="Arial" w:hAnsi="Arial" w:cs="Arial"/>
          <w:sz w:val="22"/>
          <w:szCs w:val="22"/>
        </w:rPr>
        <w:t xml:space="preserve">el </w:t>
      </w:r>
      <w:r>
        <w:rPr>
          <w:rFonts w:ascii="Arial" w:hAnsi="Arial" w:cs="Arial"/>
          <w:sz w:val="22"/>
          <w:szCs w:val="22"/>
        </w:rPr>
        <w:t>D</w:t>
      </w:r>
      <w:r w:rsidRPr="00B565CC">
        <w:rPr>
          <w:rFonts w:ascii="Arial" w:hAnsi="Arial" w:cs="Arial"/>
          <w:sz w:val="22"/>
          <w:szCs w:val="22"/>
        </w:rPr>
        <w:t>ecreto 1158 de 1994, por medio del cual se modifica el artículo 6 del Decreto 691 de 1994, el Gobierno Nacional, fija el</w:t>
      </w:r>
      <w:r w:rsidRPr="00B565CC">
        <w:rPr>
          <w:rFonts w:ascii="Arial" w:hAnsi="Arial" w:cs="Arial"/>
          <w:i/>
          <w:sz w:val="22"/>
          <w:szCs w:val="22"/>
        </w:rPr>
        <w:t xml:space="preserve"> </w:t>
      </w:r>
      <w:r w:rsidRPr="00B565CC">
        <w:rPr>
          <w:rFonts w:ascii="Arial" w:hAnsi="Arial" w:cs="Arial"/>
          <w:sz w:val="22"/>
          <w:szCs w:val="22"/>
        </w:rPr>
        <w:t xml:space="preserve">salario mensual base cotización, sobre: </w:t>
      </w:r>
    </w:p>
    <w:p w:rsidR="00DA3050" w:rsidRPr="00437FDC" w:rsidRDefault="00DA3050" w:rsidP="00DA3050">
      <w:pPr>
        <w:spacing w:line="276" w:lineRule="auto"/>
        <w:contextualSpacing/>
        <w:jc w:val="both"/>
        <w:rPr>
          <w:rFonts w:ascii="Arial" w:hAnsi="Arial" w:cs="Arial"/>
        </w:rPr>
      </w:pPr>
      <w:bookmarkStart w:id="0" w:name="_GoBack"/>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 asignación básica mensual;</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Los gastos de representación;</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 prima técnica, cuando sea factor de salario;</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Las primas de antigüedad, ascensional de capacitación cuando sean factor de salario;</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 remuneración por trabajo dominical o festivo;</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 remuneración por trabajo suplementario o de horas extras, o realizado en jornada nocturna;</w:t>
      </w:r>
    </w:p>
    <w:p w:rsidR="00DA3050" w:rsidRPr="00437FDC" w:rsidRDefault="00DA3050" w:rsidP="00DA3050">
      <w:pPr>
        <w:pStyle w:val="Sinespaciado"/>
        <w:numPr>
          <w:ilvl w:val="0"/>
          <w:numId w:val="14"/>
        </w:numPr>
        <w:spacing w:line="276" w:lineRule="auto"/>
        <w:rPr>
          <w:rFonts w:ascii="Arial" w:hAnsi="Arial" w:cs="Arial"/>
          <w:i/>
          <w:sz w:val="20"/>
          <w:szCs w:val="20"/>
        </w:rPr>
      </w:pPr>
      <w:r w:rsidRPr="00437FDC">
        <w:rPr>
          <w:rFonts w:ascii="Arial" w:hAnsi="Arial" w:cs="Arial"/>
          <w:i/>
          <w:sz w:val="20"/>
          <w:szCs w:val="20"/>
        </w:rPr>
        <w:t>La bonificación por servicios prestados;”</w:t>
      </w:r>
    </w:p>
    <w:bookmarkEnd w:id="0"/>
    <w:p w:rsidR="00DA3050" w:rsidRPr="00C65CE4" w:rsidRDefault="00DA3050" w:rsidP="00DA3050">
      <w:pPr>
        <w:spacing w:line="276" w:lineRule="auto"/>
        <w:jc w:val="both"/>
        <w:rPr>
          <w:rFonts w:ascii="Arial" w:eastAsia="Arial Unicode MS" w:hAnsi="Arial" w:cs="Arial"/>
          <w:sz w:val="22"/>
          <w:szCs w:val="22"/>
          <w:lang w:val="es-CO"/>
        </w:rPr>
      </w:pPr>
    </w:p>
    <w:p w:rsidR="00DA3050" w:rsidRDefault="00DA3050" w:rsidP="00DA3050">
      <w:pPr>
        <w:spacing w:line="276" w:lineRule="auto"/>
        <w:jc w:val="both"/>
        <w:rPr>
          <w:rFonts w:ascii="Arial" w:eastAsia="Arial Unicode MS" w:hAnsi="Arial" w:cs="Arial"/>
          <w:sz w:val="22"/>
          <w:szCs w:val="22"/>
        </w:rPr>
      </w:pPr>
      <w:r>
        <w:rPr>
          <w:rFonts w:ascii="Arial" w:eastAsia="Arial Unicode MS" w:hAnsi="Arial" w:cs="Arial"/>
          <w:sz w:val="22"/>
          <w:szCs w:val="22"/>
        </w:rPr>
        <w:t xml:space="preserve">Nótese de lo anterior, que tal y como se  ha venido refutando, la prima de navidad y la prima de vacaciones, no son factores salariales para efectos de ser incluidos en el reconocimiento de una pensión de vejez.  </w:t>
      </w:r>
    </w:p>
    <w:p w:rsidR="00DA3050" w:rsidRDefault="00DA3050" w:rsidP="00DA3050">
      <w:pPr>
        <w:spacing w:line="276" w:lineRule="auto"/>
        <w:jc w:val="both"/>
        <w:rPr>
          <w:rFonts w:ascii="Arial" w:eastAsia="Arial Unicode MS" w:hAnsi="Arial" w:cs="Arial"/>
          <w:sz w:val="22"/>
          <w:szCs w:val="22"/>
        </w:rPr>
      </w:pPr>
    </w:p>
    <w:p w:rsidR="00DA3050" w:rsidRPr="007C2380" w:rsidRDefault="00DA3050" w:rsidP="00DA3050">
      <w:pPr>
        <w:pStyle w:val="Sinespaciado"/>
        <w:spacing w:line="276" w:lineRule="auto"/>
        <w:jc w:val="both"/>
        <w:rPr>
          <w:rFonts w:ascii="Arial" w:hAnsi="Arial" w:cs="Arial"/>
          <w:b/>
        </w:rPr>
      </w:pPr>
      <w:r w:rsidRPr="00DA3050">
        <w:rPr>
          <w:rFonts w:ascii="Arial" w:hAnsi="Arial" w:cs="Arial"/>
        </w:rPr>
        <w:t xml:space="preserve">Aunado a lo anterior, </w:t>
      </w:r>
      <w:r>
        <w:rPr>
          <w:rFonts w:ascii="Arial" w:hAnsi="Arial" w:cs="Arial"/>
        </w:rPr>
        <w:t xml:space="preserve">en el memoria recurrente, se solito que al desatarse dicho recurso, se tenga de presente </w:t>
      </w:r>
      <w:r w:rsidRPr="00DA3050">
        <w:rPr>
          <w:rFonts w:ascii="Arial" w:hAnsi="Arial" w:cs="Arial"/>
        </w:rPr>
        <w:t xml:space="preserve">el reciente pronunciamiento de la </w:t>
      </w:r>
      <w:r w:rsidRPr="007C2380">
        <w:rPr>
          <w:rFonts w:ascii="Arial" w:hAnsi="Arial" w:cs="Arial"/>
          <w:b/>
        </w:rPr>
        <w:t xml:space="preserve">SALA DE LO CONTENCIOSO ADMINISTRATIVO, SECCIÓN CUARTA, radicado 11001-03-15-000-2017-02988-00, Actor: BLANCA LEONOR SIERRA CORREDOR, Demandando: TRIBUNAL ADMINISTRATIVO DE CUNDINAMARCA, SECCIÓN SEGUNDA, SUBSECCIÓN “A”, en la que se concluyó:  </w:t>
      </w:r>
    </w:p>
    <w:tbl>
      <w:tblPr>
        <w:tblW w:w="9038" w:type="dxa"/>
        <w:tblLayout w:type="fixed"/>
        <w:tblLook w:val="0000" w:firstRow="0" w:lastRow="0" w:firstColumn="0" w:lastColumn="0" w:noHBand="0" w:noVBand="0"/>
      </w:tblPr>
      <w:tblGrid>
        <w:gridCol w:w="1951"/>
        <w:gridCol w:w="7087"/>
      </w:tblGrid>
      <w:tr w:rsidR="00DA3050" w:rsidRPr="007C2380" w:rsidTr="00523AD0">
        <w:tc>
          <w:tcPr>
            <w:tcW w:w="1951" w:type="dxa"/>
            <w:shd w:val="clear" w:color="auto" w:fill="auto"/>
          </w:tcPr>
          <w:p w:rsidR="00DA3050" w:rsidRPr="007C2380" w:rsidRDefault="00DA3050" w:rsidP="00523AD0">
            <w:pPr>
              <w:pStyle w:val="Sinespaciado"/>
              <w:spacing w:line="276" w:lineRule="auto"/>
              <w:jc w:val="both"/>
              <w:rPr>
                <w:rFonts w:ascii="Arial" w:hAnsi="Arial" w:cs="Arial"/>
                <w:b/>
              </w:rPr>
            </w:pPr>
          </w:p>
        </w:tc>
        <w:tc>
          <w:tcPr>
            <w:tcW w:w="7087" w:type="dxa"/>
            <w:shd w:val="clear" w:color="auto" w:fill="auto"/>
          </w:tcPr>
          <w:p w:rsidR="00DA3050" w:rsidRPr="007C2380" w:rsidRDefault="00DA3050" w:rsidP="00523AD0">
            <w:pPr>
              <w:pStyle w:val="Sinespaciado"/>
              <w:spacing w:line="276" w:lineRule="auto"/>
              <w:jc w:val="both"/>
              <w:rPr>
                <w:rFonts w:ascii="Arial" w:hAnsi="Arial" w:cs="Arial"/>
                <w:b/>
              </w:rPr>
            </w:pPr>
          </w:p>
        </w:tc>
      </w:tr>
      <w:tr w:rsidR="00DA3050" w:rsidRPr="007C2380" w:rsidTr="00523AD0">
        <w:tc>
          <w:tcPr>
            <w:tcW w:w="1951" w:type="dxa"/>
            <w:shd w:val="clear" w:color="auto" w:fill="auto"/>
          </w:tcPr>
          <w:p w:rsidR="00DA3050" w:rsidRPr="007C2380" w:rsidRDefault="00DA3050" w:rsidP="00523AD0">
            <w:pPr>
              <w:pStyle w:val="Sinespaciado"/>
              <w:spacing w:line="276" w:lineRule="auto"/>
              <w:jc w:val="both"/>
              <w:rPr>
                <w:rFonts w:ascii="Arial" w:hAnsi="Arial" w:cs="Arial"/>
                <w:b/>
              </w:rPr>
            </w:pPr>
          </w:p>
        </w:tc>
        <w:tc>
          <w:tcPr>
            <w:tcW w:w="7087" w:type="dxa"/>
            <w:shd w:val="clear" w:color="auto" w:fill="auto"/>
          </w:tcPr>
          <w:p w:rsidR="00DA3050" w:rsidRPr="007C2380" w:rsidRDefault="00DA3050" w:rsidP="00523AD0">
            <w:pPr>
              <w:pStyle w:val="Sinespaciado"/>
              <w:spacing w:line="276" w:lineRule="auto"/>
              <w:jc w:val="both"/>
              <w:rPr>
                <w:rFonts w:ascii="Arial" w:hAnsi="Arial" w:cs="Arial"/>
                <w:b/>
              </w:rPr>
            </w:pPr>
          </w:p>
        </w:tc>
      </w:tr>
      <w:tr w:rsidR="00DA3050" w:rsidRPr="007C2380" w:rsidTr="00523AD0">
        <w:tc>
          <w:tcPr>
            <w:tcW w:w="1951" w:type="dxa"/>
            <w:shd w:val="clear" w:color="auto" w:fill="auto"/>
          </w:tcPr>
          <w:p w:rsidR="00DA3050" w:rsidRPr="007C2380" w:rsidRDefault="00DA3050" w:rsidP="00523AD0">
            <w:pPr>
              <w:pStyle w:val="Sinespaciado"/>
              <w:spacing w:line="276" w:lineRule="auto"/>
              <w:jc w:val="both"/>
              <w:rPr>
                <w:rFonts w:ascii="Arial" w:hAnsi="Arial" w:cs="Arial"/>
                <w:b/>
              </w:rPr>
            </w:pPr>
          </w:p>
        </w:tc>
        <w:tc>
          <w:tcPr>
            <w:tcW w:w="7087" w:type="dxa"/>
            <w:shd w:val="clear" w:color="auto" w:fill="auto"/>
          </w:tcPr>
          <w:p w:rsidR="00DA3050" w:rsidRPr="007C2380" w:rsidRDefault="00DA3050" w:rsidP="00523AD0">
            <w:pPr>
              <w:pStyle w:val="Sinespaciado"/>
              <w:spacing w:line="276" w:lineRule="auto"/>
              <w:jc w:val="both"/>
              <w:rPr>
                <w:rFonts w:ascii="Arial" w:hAnsi="Arial" w:cs="Arial"/>
                <w:b/>
              </w:rPr>
            </w:pPr>
          </w:p>
        </w:tc>
      </w:tr>
    </w:tbl>
    <w:p w:rsidR="00DA3050" w:rsidRPr="007C2380" w:rsidRDefault="00DA3050" w:rsidP="00DA3050">
      <w:pPr>
        <w:ind w:right="50"/>
        <w:jc w:val="both"/>
        <w:rPr>
          <w:rFonts w:ascii="Arial" w:eastAsia="Verdana" w:hAnsi="Arial" w:cs="Arial"/>
          <w:b/>
          <w:i/>
        </w:rPr>
      </w:pPr>
      <w:r w:rsidRPr="007C2380">
        <w:rPr>
          <w:rFonts w:ascii="Arial" w:eastAsia="Verdana" w:hAnsi="Arial" w:cs="Arial"/>
          <w:b/>
          <w:i/>
        </w:rPr>
        <w:t>“En todo caso, como se expuso, si se aplicara el inciso 3 del artículo 36 de la Ley 100 para efectos de calcular el IBL, como lo afirma la Corte, o el artículo 3 de la Ley 33 de 1985, como lo ha sostenido el Consejo de Estado, se llega la misma conclusión: las pensiones de los empleados oficiales de cualquier orden siempre se deben liquidar sobre los factores que hayan servido de base para calcular los aportes o, en palabras de la Ley 100 (artículo 21), sobre los factores cotizados.</w:t>
      </w:r>
    </w:p>
    <w:p w:rsidR="00DA3050" w:rsidRPr="007C2380" w:rsidRDefault="00DA3050" w:rsidP="00DA3050">
      <w:pPr>
        <w:ind w:right="50"/>
        <w:jc w:val="both"/>
        <w:rPr>
          <w:rFonts w:ascii="Arial" w:eastAsia="Verdana" w:hAnsi="Arial" w:cs="Arial"/>
          <w:b/>
          <w:i/>
        </w:rPr>
      </w:pPr>
    </w:p>
    <w:p w:rsidR="00DA3050" w:rsidRPr="007C2380" w:rsidRDefault="00DA3050" w:rsidP="00DA3050">
      <w:pPr>
        <w:jc w:val="both"/>
        <w:rPr>
          <w:rFonts w:ascii="Arial" w:eastAsia="Verdana" w:hAnsi="Arial" w:cs="Arial"/>
          <w:b/>
          <w:i/>
        </w:rPr>
      </w:pPr>
      <w:r w:rsidRPr="007C2380">
        <w:rPr>
          <w:rFonts w:ascii="Arial" w:eastAsia="Verdana" w:hAnsi="Arial" w:cs="Arial"/>
          <w:b/>
          <w:i/>
        </w:rPr>
        <w:lastRenderedPageBreak/>
        <w:t>Conclusión a la que se llega igualmente si se aplica el Acto Legislativo 01 de 2015 que prevé expresamente el deber de liquidar las pensiones sobre los factores salariales cotizados –no sobre los devengados-, norma constitucional de aplicación inmediata, por lo que no es dable la aplicación de la tesis sostenida por la Sección Segunda del Consejo de Estado en la sentencia de unificación del 4 de agosto de 2010”.</w:t>
      </w:r>
    </w:p>
    <w:p w:rsidR="00DA3050" w:rsidRDefault="00DA3050" w:rsidP="00DA3050">
      <w:pPr>
        <w:spacing w:line="276" w:lineRule="auto"/>
        <w:jc w:val="both"/>
        <w:rPr>
          <w:rFonts w:ascii="Arial" w:eastAsia="Arial Unicode MS" w:hAnsi="Arial" w:cs="Arial"/>
          <w:sz w:val="22"/>
          <w:szCs w:val="22"/>
        </w:rPr>
      </w:pPr>
    </w:p>
    <w:p w:rsidR="00645E37" w:rsidRDefault="00BD3302" w:rsidP="00BD3302">
      <w:pPr>
        <w:spacing w:line="276" w:lineRule="auto"/>
        <w:jc w:val="both"/>
        <w:rPr>
          <w:rFonts w:ascii="Arial" w:hAnsi="Arial" w:cs="Arial"/>
          <w:sz w:val="22"/>
          <w:szCs w:val="22"/>
        </w:rPr>
      </w:pPr>
      <w:r>
        <w:rPr>
          <w:rFonts w:ascii="Arial" w:hAnsi="Arial" w:cs="Arial"/>
          <w:sz w:val="22"/>
          <w:szCs w:val="22"/>
        </w:rPr>
        <w:t xml:space="preserve">En consecuencia, </w:t>
      </w:r>
      <w:r w:rsidRPr="00162423">
        <w:rPr>
          <w:rFonts w:ascii="Arial" w:hAnsi="Arial" w:cs="Arial"/>
          <w:sz w:val="22"/>
          <w:szCs w:val="22"/>
        </w:rPr>
        <w:t>conform</w:t>
      </w:r>
      <w:r>
        <w:rPr>
          <w:rFonts w:ascii="Arial" w:hAnsi="Arial" w:cs="Arial"/>
          <w:sz w:val="22"/>
          <w:szCs w:val="22"/>
        </w:rPr>
        <w:t xml:space="preserve">e a </w:t>
      </w:r>
      <w:r w:rsidRPr="00162423">
        <w:rPr>
          <w:rFonts w:ascii="Arial" w:hAnsi="Arial" w:cs="Arial"/>
          <w:sz w:val="22"/>
          <w:szCs w:val="22"/>
        </w:rPr>
        <w:t>los argumentos esbozados</w:t>
      </w:r>
      <w:r>
        <w:rPr>
          <w:rFonts w:ascii="Arial" w:hAnsi="Arial" w:cs="Arial"/>
          <w:sz w:val="22"/>
          <w:szCs w:val="22"/>
        </w:rPr>
        <w:t xml:space="preserve">, </w:t>
      </w:r>
      <w:r w:rsidRPr="00BD3302">
        <w:rPr>
          <w:rFonts w:ascii="Arial" w:hAnsi="Arial" w:cs="Arial"/>
          <w:sz w:val="22"/>
          <w:szCs w:val="22"/>
        </w:rPr>
        <w:t xml:space="preserve">y considerando que </w:t>
      </w:r>
      <w:r w:rsidR="00DA3050">
        <w:rPr>
          <w:rFonts w:ascii="Arial" w:hAnsi="Arial" w:cs="Arial"/>
          <w:sz w:val="22"/>
          <w:szCs w:val="22"/>
        </w:rPr>
        <w:t xml:space="preserve">los criterios no han variado, </w:t>
      </w:r>
      <w:r w:rsidR="002B2A63">
        <w:rPr>
          <w:rFonts w:ascii="Arial" w:hAnsi="Arial" w:cs="Arial"/>
          <w:sz w:val="22"/>
          <w:szCs w:val="22"/>
        </w:rPr>
        <w:t xml:space="preserve">se recomienda no </w:t>
      </w:r>
      <w:r w:rsidR="00645E37" w:rsidRPr="00162423">
        <w:rPr>
          <w:rFonts w:ascii="Arial" w:hAnsi="Arial" w:cs="Arial"/>
          <w:sz w:val="22"/>
          <w:szCs w:val="22"/>
        </w:rPr>
        <w:t>CONCILIAR las pretensiones del</w:t>
      </w:r>
      <w:r w:rsidR="00D71E68" w:rsidRPr="00162423">
        <w:rPr>
          <w:rFonts w:ascii="Arial" w:hAnsi="Arial" w:cs="Arial"/>
          <w:sz w:val="22"/>
          <w:szCs w:val="22"/>
        </w:rPr>
        <w:t xml:space="preserve"> </w:t>
      </w:r>
      <w:r w:rsidR="00312A47" w:rsidRPr="00162423">
        <w:rPr>
          <w:rFonts w:ascii="Arial" w:hAnsi="Arial" w:cs="Arial"/>
          <w:sz w:val="22"/>
          <w:szCs w:val="22"/>
        </w:rPr>
        <w:t>demandante</w:t>
      </w:r>
      <w:r w:rsidR="00645E37" w:rsidRPr="00162423">
        <w:rPr>
          <w:rFonts w:ascii="Arial" w:hAnsi="Arial" w:cs="Arial"/>
          <w:sz w:val="22"/>
          <w:szCs w:val="22"/>
        </w:rPr>
        <w:t>.</w:t>
      </w:r>
    </w:p>
    <w:p w:rsidR="00BD3302" w:rsidRDefault="00BD3302" w:rsidP="00162423">
      <w:pPr>
        <w:tabs>
          <w:tab w:val="left" w:pos="1276"/>
          <w:tab w:val="left" w:pos="2127"/>
        </w:tabs>
        <w:spacing w:line="276" w:lineRule="auto"/>
        <w:contextualSpacing/>
        <w:jc w:val="both"/>
        <w:rPr>
          <w:rFonts w:ascii="Arial" w:hAnsi="Arial" w:cs="Arial"/>
          <w:sz w:val="22"/>
          <w:szCs w:val="22"/>
        </w:rPr>
      </w:pPr>
    </w:p>
    <w:p w:rsidR="00805AD0" w:rsidRPr="00805AD0" w:rsidRDefault="00805AD0" w:rsidP="00805AD0">
      <w:pPr>
        <w:jc w:val="both"/>
        <w:rPr>
          <w:rFonts w:ascii="Arial" w:hAnsi="Arial" w:cs="Arial"/>
          <w:sz w:val="22"/>
          <w:szCs w:val="22"/>
        </w:rPr>
      </w:pPr>
      <w:r w:rsidRPr="00805AD0">
        <w:rPr>
          <w:rFonts w:ascii="Arial" w:hAnsi="Arial" w:cs="Arial"/>
          <w:sz w:val="22"/>
          <w:szCs w:val="22"/>
        </w:rPr>
        <w:t>Este concepto lo rindo bajo las premisas del artículo  28 del C. de P. A.C.A.</w:t>
      </w:r>
    </w:p>
    <w:p w:rsidR="00805AD0" w:rsidRDefault="00805AD0" w:rsidP="00805AD0">
      <w:pPr>
        <w:jc w:val="both"/>
        <w:rPr>
          <w:rFonts w:ascii="Arial" w:hAnsi="Arial" w:cs="Arial"/>
        </w:rPr>
      </w:pPr>
    </w:p>
    <w:p w:rsidR="001F7284" w:rsidRDefault="001F7284" w:rsidP="00045E39">
      <w:pPr>
        <w:tabs>
          <w:tab w:val="left" w:pos="6946"/>
        </w:tabs>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035464" w:rsidRPr="00184601" w:rsidRDefault="00783573" w:rsidP="001F7284">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199</w:t>
      </w:r>
      <w:r w:rsidR="00DA3050">
        <w:rPr>
          <w:rFonts w:ascii="Arial" w:hAnsi="Arial" w:cs="Arial"/>
          <w:sz w:val="22"/>
          <w:szCs w:val="22"/>
        </w:rPr>
        <w:t>.</w:t>
      </w:r>
      <w:r w:rsidR="005B06DB" w:rsidRPr="00184601">
        <w:rPr>
          <w:rFonts w:ascii="Arial" w:hAnsi="Arial" w:cs="Arial"/>
          <w:sz w:val="22"/>
          <w:szCs w:val="22"/>
        </w:rPr>
        <w:t xml:space="preserve">998 </w:t>
      </w:r>
      <w:r w:rsidRPr="00184601">
        <w:rPr>
          <w:rFonts w:ascii="Arial" w:hAnsi="Arial" w:cs="Arial"/>
          <w:sz w:val="22"/>
          <w:szCs w:val="22"/>
        </w:rPr>
        <w:t>del C.S. de la J.</w:t>
      </w: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ACD" w:rsidRDefault="00C54ACD" w:rsidP="00A943A1">
      <w:r>
        <w:separator/>
      </w:r>
    </w:p>
  </w:endnote>
  <w:endnote w:type="continuationSeparator" w:id="0">
    <w:p w:rsidR="00C54ACD" w:rsidRDefault="00C54ACD"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altName w:val="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CD" w:rsidRPr="003A7AFB" w:rsidRDefault="00C54ACD"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C54ACD" w:rsidRPr="003A7AFB" w:rsidRDefault="00437FDC">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00C54ACD" w:rsidRPr="003A7AFB">
          <w:rPr>
            <w:rFonts w:ascii="Century Schoolbook" w:hAnsi="Century Schoolbook"/>
            <w:i/>
            <w:sz w:val="16"/>
            <w:szCs w:val="16"/>
          </w:rPr>
          <w:fldChar w:fldCharType="begin"/>
        </w:r>
        <w:r w:rsidR="00C54ACD" w:rsidRPr="003A7AFB">
          <w:rPr>
            <w:rFonts w:ascii="Century Schoolbook" w:hAnsi="Century Schoolbook"/>
            <w:i/>
            <w:sz w:val="16"/>
            <w:szCs w:val="16"/>
          </w:rPr>
          <w:instrText>PAGE   \* MERGEFORMAT</w:instrText>
        </w:r>
        <w:r w:rsidR="00C54ACD" w:rsidRPr="003A7AFB">
          <w:rPr>
            <w:rFonts w:ascii="Century Schoolbook" w:hAnsi="Century Schoolbook"/>
            <w:i/>
            <w:sz w:val="16"/>
            <w:szCs w:val="16"/>
          </w:rPr>
          <w:fldChar w:fldCharType="separate"/>
        </w:r>
        <w:r>
          <w:rPr>
            <w:rFonts w:ascii="Century Schoolbook" w:hAnsi="Century Schoolbook"/>
            <w:i/>
            <w:noProof/>
            <w:sz w:val="16"/>
            <w:szCs w:val="16"/>
          </w:rPr>
          <w:t>4</w:t>
        </w:r>
        <w:r w:rsidR="00C54ACD" w:rsidRPr="003A7AFB">
          <w:rPr>
            <w:rFonts w:ascii="Century Schoolbook" w:hAnsi="Century Schoolbook"/>
            <w:i/>
            <w:sz w:val="16"/>
            <w:szCs w:val="16"/>
          </w:rPr>
          <w:fldChar w:fldCharType="end"/>
        </w:r>
      </w:sdtContent>
    </w:sdt>
  </w:p>
  <w:p w:rsidR="00C54ACD" w:rsidRPr="003A7AFB" w:rsidRDefault="00C54ACD"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ACD" w:rsidRDefault="00C54ACD" w:rsidP="00A943A1">
      <w:r>
        <w:separator/>
      </w:r>
    </w:p>
  </w:footnote>
  <w:footnote w:type="continuationSeparator" w:id="0">
    <w:p w:rsidR="00C54ACD" w:rsidRDefault="00C54ACD"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88F" w:rsidRDefault="00C54ACD"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1B2B9129" wp14:editId="716C8D4F">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p>
  <w:p w:rsidR="00C54ACD" w:rsidRPr="00A943A1" w:rsidRDefault="00C54AC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Soreine Aguirre Parra </w:t>
    </w:r>
  </w:p>
  <w:p w:rsidR="00C54ACD" w:rsidRDefault="00C54AC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C54ACD" w:rsidRDefault="00C54ACD" w:rsidP="00A943A1">
    <w:pPr>
      <w:pStyle w:val="Encabezado"/>
      <w:pBdr>
        <w:bottom w:val="double" w:sz="4" w:space="1" w:color="auto"/>
      </w:pBdr>
      <w:jc w:val="center"/>
      <w:rPr>
        <w:rFonts w:ascii="Century Schoolbook" w:hAnsi="Century Schoolbook"/>
        <w:i/>
        <w:sz w:val="28"/>
        <w:szCs w:val="28"/>
      </w:rPr>
    </w:pPr>
  </w:p>
  <w:p w:rsidR="002E688F" w:rsidRPr="00A943A1" w:rsidRDefault="002E688F" w:rsidP="00A943A1">
    <w:pPr>
      <w:pStyle w:val="Encabezado"/>
      <w:pBdr>
        <w:bottom w:val="double" w:sz="4" w:space="1" w:color="auto"/>
      </w:pBdr>
      <w:jc w:val="center"/>
      <w:rPr>
        <w:rFonts w:ascii="Century Schoolbook" w:hAnsi="Century Schoolbook"/>
        <w:i/>
        <w:sz w:val="28"/>
        <w:szCs w:val="28"/>
      </w:rPr>
    </w:pPr>
  </w:p>
  <w:p w:rsidR="00C54ACD" w:rsidRDefault="00C54AC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0BBA1F55"/>
    <w:multiLevelType w:val="hybridMultilevel"/>
    <w:tmpl w:val="70F4E2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1F74902"/>
    <w:multiLevelType w:val="hybridMultilevel"/>
    <w:tmpl w:val="98EC058C"/>
    <w:lvl w:ilvl="0" w:tplc="24342B4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C783F6C"/>
    <w:multiLevelType w:val="multilevel"/>
    <w:tmpl w:val="A0FC6BB2"/>
    <w:lvl w:ilvl="0">
      <w:start w:val="1"/>
      <w:numFmt w:val="decimal"/>
      <w:lvlText w:val="%1."/>
      <w:lvlJc w:val="left"/>
      <w:pPr>
        <w:tabs>
          <w:tab w:val="num" w:pos="3054"/>
        </w:tabs>
        <w:ind w:left="3054" w:hanging="360"/>
      </w:pPr>
    </w:lvl>
    <w:lvl w:ilvl="1" w:tentative="1">
      <w:start w:val="1"/>
      <w:numFmt w:val="decimal"/>
      <w:lvlText w:val="%2."/>
      <w:lvlJc w:val="left"/>
      <w:pPr>
        <w:tabs>
          <w:tab w:val="num" w:pos="3774"/>
        </w:tabs>
        <w:ind w:left="3774" w:hanging="360"/>
      </w:pPr>
    </w:lvl>
    <w:lvl w:ilvl="2" w:tentative="1">
      <w:start w:val="1"/>
      <w:numFmt w:val="decimal"/>
      <w:lvlText w:val="%3."/>
      <w:lvlJc w:val="left"/>
      <w:pPr>
        <w:tabs>
          <w:tab w:val="num" w:pos="4494"/>
        </w:tabs>
        <w:ind w:left="4494" w:hanging="360"/>
      </w:pPr>
    </w:lvl>
    <w:lvl w:ilvl="3" w:tentative="1">
      <w:start w:val="1"/>
      <w:numFmt w:val="decimal"/>
      <w:lvlText w:val="%4."/>
      <w:lvlJc w:val="left"/>
      <w:pPr>
        <w:tabs>
          <w:tab w:val="num" w:pos="5214"/>
        </w:tabs>
        <w:ind w:left="5214" w:hanging="360"/>
      </w:pPr>
    </w:lvl>
    <w:lvl w:ilvl="4" w:tentative="1">
      <w:start w:val="1"/>
      <w:numFmt w:val="decimal"/>
      <w:lvlText w:val="%5."/>
      <w:lvlJc w:val="left"/>
      <w:pPr>
        <w:tabs>
          <w:tab w:val="num" w:pos="5934"/>
        </w:tabs>
        <w:ind w:left="5934" w:hanging="360"/>
      </w:pPr>
    </w:lvl>
    <w:lvl w:ilvl="5" w:tentative="1">
      <w:start w:val="1"/>
      <w:numFmt w:val="decimal"/>
      <w:lvlText w:val="%6."/>
      <w:lvlJc w:val="left"/>
      <w:pPr>
        <w:tabs>
          <w:tab w:val="num" w:pos="6654"/>
        </w:tabs>
        <w:ind w:left="6654" w:hanging="360"/>
      </w:pPr>
    </w:lvl>
    <w:lvl w:ilvl="6" w:tentative="1">
      <w:start w:val="1"/>
      <w:numFmt w:val="decimal"/>
      <w:lvlText w:val="%7."/>
      <w:lvlJc w:val="left"/>
      <w:pPr>
        <w:tabs>
          <w:tab w:val="num" w:pos="7374"/>
        </w:tabs>
        <w:ind w:left="7374" w:hanging="360"/>
      </w:pPr>
    </w:lvl>
    <w:lvl w:ilvl="7" w:tentative="1">
      <w:start w:val="1"/>
      <w:numFmt w:val="decimal"/>
      <w:lvlText w:val="%8."/>
      <w:lvlJc w:val="left"/>
      <w:pPr>
        <w:tabs>
          <w:tab w:val="num" w:pos="8094"/>
        </w:tabs>
        <w:ind w:left="8094" w:hanging="360"/>
      </w:pPr>
    </w:lvl>
    <w:lvl w:ilvl="8" w:tentative="1">
      <w:start w:val="1"/>
      <w:numFmt w:val="decimal"/>
      <w:lvlText w:val="%9."/>
      <w:lvlJc w:val="left"/>
      <w:pPr>
        <w:tabs>
          <w:tab w:val="num" w:pos="8814"/>
        </w:tabs>
        <w:ind w:left="8814" w:hanging="360"/>
      </w:pPr>
    </w:lvl>
  </w:abstractNum>
  <w:abstractNum w:abstractNumId="5">
    <w:nsid w:val="39942C5B"/>
    <w:multiLevelType w:val="multilevel"/>
    <w:tmpl w:val="D26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7">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7"/>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
  </w:num>
  <w:num w:numId="7">
    <w:abstractNumId w:val="4"/>
    <w:lvlOverride w:ilvl="0">
      <w:startOverride w:val="1"/>
    </w:lvlOverride>
  </w:num>
  <w:num w:numId="8">
    <w:abstractNumId w:val="4"/>
    <w:lvlOverride w:ilvl="0">
      <w:startOverride w:val="2"/>
    </w:lvlOverride>
  </w:num>
  <w:num w:numId="9">
    <w:abstractNumId w:val="4"/>
    <w:lvlOverride w:ilvl="0">
      <w:startOverride w:val="3"/>
    </w:lvlOverride>
  </w:num>
  <w:num w:numId="10">
    <w:abstractNumId w:val="4"/>
    <w:lvlOverride w:ilvl="0">
      <w:startOverride w:val="4"/>
    </w:lvlOverride>
  </w:num>
  <w:num w:numId="11">
    <w:abstractNumId w:val="4"/>
    <w:lvlOverride w:ilvl="0">
      <w:startOverride w:val="5"/>
    </w:lvlOverride>
  </w:num>
  <w:num w:numId="12">
    <w:abstractNumId w:val="4"/>
    <w:lvlOverride w:ilvl="0">
      <w:startOverride w:val="6"/>
    </w:lvlOverride>
  </w:num>
  <w:num w:numId="13">
    <w:abstractNumId w:val="4"/>
    <w:lvlOverride w:ilvl="0">
      <w:startOverride w:val="7"/>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16A7A"/>
    <w:rsid w:val="00016F6F"/>
    <w:rsid w:val="00035464"/>
    <w:rsid w:val="00037B12"/>
    <w:rsid w:val="000404CA"/>
    <w:rsid w:val="00045E39"/>
    <w:rsid w:val="00075BCE"/>
    <w:rsid w:val="000B3D86"/>
    <w:rsid w:val="000E4AC0"/>
    <w:rsid w:val="000F675B"/>
    <w:rsid w:val="00127153"/>
    <w:rsid w:val="0013167E"/>
    <w:rsid w:val="00137297"/>
    <w:rsid w:val="00156ADE"/>
    <w:rsid w:val="0016118B"/>
    <w:rsid w:val="00162423"/>
    <w:rsid w:val="0017157E"/>
    <w:rsid w:val="00182B36"/>
    <w:rsid w:val="00184601"/>
    <w:rsid w:val="00192875"/>
    <w:rsid w:val="00195957"/>
    <w:rsid w:val="001E6440"/>
    <w:rsid w:val="001E69F1"/>
    <w:rsid w:val="001F7284"/>
    <w:rsid w:val="002018D9"/>
    <w:rsid w:val="00214AB8"/>
    <w:rsid w:val="00220292"/>
    <w:rsid w:val="00250D1D"/>
    <w:rsid w:val="00265E59"/>
    <w:rsid w:val="00270F93"/>
    <w:rsid w:val="00272A25"/>
    <w:rsid w:val="002B2A63"/>
    <w:rsid w:val="002C72A5"/>
    <w:rsid w:val="002D0268"/>
    <w:rsid w:val="002E1F29"/>
    <w:rsid w:val="002E6467"/>
    <w:rsid w:val="002E688F"/>
    <w:rsid w:val="002E6C27"/>
    <w:rsid w:val="00304171"/>
    <w:rsid w:val="00312A47"/>
    <w:rsid w:val="00321AD2"/>
    <w:rsid w:val="00357198"/>
    <w:rsid w:val="00371CDD"/>
    <w:rsid w:val="0037209A"/>
    <w:rsid w:val="00377677"/>
    <w:rsid w:val="003833F1"/>
    <w:rsid w:val="00394FEB"/>
    <w:rsid w:val="003A6699"/>
    <w:rsid w:val="003A7AFB"/>
    <w:rsid w:val="003B47BC"/>
    <w:rsid w:val="003D5CDA"/>
    <w:rsid w:val="004101F0"/>
    <w:rsid w:val="004102E5"/>
    <w:rsid w:val="00415119"/>
    <w:rsid w:val="00417263"/>
    <w:rsid w:val="00420E6F"/>
    <w:rsid w:val="00437621"/>
    <w:rsid w:val="00437FDC"/>
    <w:rsid w:val="00454B0C"/>
    <w:rsid w:val="0046450A"/>
    <w:rsid w:val="004D3AAF"/>
    <w:rsid w:val="004D4C6D"/>
    <w:rsid w:val="0050414E"/>
    <w:rsid w:val="00524BEC"/>
    <w:rsid w:val="005318C7"/>
    <w:rsid w:val="00532331"/>
    <w:rsid w:val="005463B5"/>
    <w:rsid w:val="005535D0"/>
    <w:rsid w:val="005702F5"/>
    <w:rsid w:val="00584666"/>
    <w:rsid w:val="005B06DB"/>
    <w:rsid w:val="005B14E1"/>
    <w:rsid w:val="005B3B09"/>
    <w:rsid w:val="005C04A6"/>
    <w:rsid w:val="005C0616"/>
    <w:rsid w:val="005D567D"/>
    <w:rsid w:val="005E63BC"/>
    <w:rsid w:val="005E6B96"/>
    <w:rsid w:val="005F2CAC"/>
    <w:rsid w:val="005F514E"/>
    <w:rsid w:val="00620C92"/>
    <w:rsid w:val="00640F3B"/>
    <w:rsid w:val="00642852"/>
    <w:rsid w:val="00645E37"/>
    <w:rsid w:val="006538C9"/>
    <w:rsid w:val="0069188A"/>
    <w:rsid w:val="00694C46"/>
    <w:rsid w:val="006A332E"/>
    <w:rsid w:val="006A36F2"/>
    <w:rsid w:val="006A6219"/>
    <w:rsid w:val="006A6A57"/>
    <w:rsid w:val="006B430E"/>
    <w:rsid w:val="006C5432"/>
    <w:rsid w:val="006E369D"/>
    <w:rsid w:val="00700E2F"/>
    <w:rsid w:val="00704DD1"/>
    <w:rsid w:val="00720CE2"/>
    <w:rsid w:val="007339F3"/>
    <w:rsid w:val="007459C8"/>
    <w:rsid w:val="00783573"/>
    <w:rsid w:val="00793D3E"/>
    <w:rsid w:val="007A1390"/>
    <w:rsid w:val="007B23FF"/>
    <w:rsid w:val="00805AD0"/>
    <w:rsid w:val="0080763B"/>
    <w:rsid w:val="008153C1"/>
    <w:rsid w:val="00843DB1"/>
    <w:rsid w:val="00874ACD"/>
    <w:rsid w:val="00884334"/>
    <w:rsid w:val="00886A96"/>
    <w:rsid w:val="008B1F8B"/>
    <w:rsid w:val="008B5399"/>
    <w:rsid w:val="008C6D3D"/>
    <w:rsid w:val="008D2957"/>
    <w:rsid w:val="008D38B8"/>
    <w:rsid w:val="008D4464"/>
    <w:rsid w:val="008E5AF9"/>
    <w:rsid w:val="008E5BFA"/>
    <w:rsid w:val="008F1C15"/>
    <w:rsid w:val="00916253"/>
    <w:rsid w:val="00927E0E"/>
    <w:rsid w:val="00954501"/>
    <w:rsid w:val="00954F1B"/>
    <w:rsid w:val="0095550E"/>
    <w:rsid w:val="00973D02"/>
    <w:rsid w:val="00973F0E"/>
    <w:rsid w:val="0097658D"/>
    <w:rsid w:val="00996865"/>
    <w:rsid w:val="009B44DD"/>
    <w:rsid w:val="009E024C"/>
    <w:rsid w:val="009E0B04"/>
    <w:rsid w:val="009E362B"/>
    <w:rsid w:val="009E370B"/>
    <w:rsid w:val="009E5661"/>
    <w:rsid w:val="00A2260B"/>
    <w:rsid w:val="00A41645"/>
    <w:rsid w:val="00A67154"/>
    <w:rsid w:val="00A77E4E"/>
    <w:rsid w:val="00A943A1"/>
    <w:rsid w:val="00AC0A07"/>
    <w:rsid w:val="00AC107D"/>
    <w:rsid w:val="00AC204B"/>
    <w:rsid w:val="00AC32E9"/>
    <w:rsid w:val="00AE36DB"/>
    <w:rsid w:val="00B065ED"/>
    <w:rsid w:val="00B078E2"/>
    <w:rsid w:val="00B24A64"/>
    <w:rsid w:val="00B63873"/>
    <w:rsid w:val="00B73CB7"/>
    <w:rsid w:val="00B74580"/>
    <w:rsid w:val="00B75D41"/>
    <w:rsid w:val="00B8285A"/>
    <w:rsid w:val="00B93724"/>
    <w:rsid w:val="00BA1275"/>
    <w:rsid w:val="00BB28FE"/>
    <w:rsid w:val="00BB6526"/>
    <w:rsid w:val="00BC6E79"/>
    <w:rsid w:val="00BD3302"/>
    <w:rsid w:val="00C05E00"/>
    <w:rsid w:val="00C06C9F"/>
    <w:rsid w:val="00C15A5C"/>
    <w:rsid w:val="00C16F96"/>
    <w:rsid w:val="00C54ACD"/>
    <w:rsid w:val="00C636EC"/>
    <w:rsid w:val="00CB2AF3"/>
    <w:rsid w:val="00CC0719"/>
    <w:rsid w:val="00CE2CF9"/>
    <w:rsid w:val="00CE585E"/>
    <w:rsid w:val="00D04997"/>
    <w:rsid w:val="00D34D21"/>
    <w:rsid w:val="00D509DD"/>
    <w:rsid w:val="00D660D8"/>
    <w:rsid w:val="00D67E8D"/>
    <w:rsid w:val="00D701FA"/>
    <w:rsid w:val="00D71E68"/>
    <w:rsid w:val="00D85175"/>
    <w:rsid w:val="00D90836"/>
    <w:rsid w:val="00D965C7"/>
    <w:rsid w:val="00D9799B"/>
    <w:rsid w:val="00DA3050"/>
    <w:rsid w:val="00DB5DB7"/>
    <w:rsid w:val="00DE56A7"/>
    <w:rsid w:val="00E16937"/>
    <w:rsid w:val="00E170D4"/>
    <w:rsid w:val="00E22BE1"/>
    <w:rsid w:val="00E71AF7"/>
    <w:rsid w:val="00E84B3D"/>
    <w:rsid w:val="00E93102"/>
    <w:rsid w:val="00EA580F"/>
    <w:rsid w:val="00EB6456"/>
    <w:rsid w:val="00EB707B"/>
    <w:rsid w:val="00EB7E30"/>
    <w:rsid w:val="00EC5F91"/>
    <w:rsid w:val="00ED5FEF"/>
    <w:rsid w:val="00F20C28"/>
    <w:rsid w:val="00F24137"/>
    <w:rsid w:val="00F266AE"/>
    <w:rsid w:val="00F863EB"/>
    <w:rsid w:val="00F96223"/>
    <w:rsid w:val="00FA7DF6"/>
    <w:rsid w:val="00FC066D"/>
    <w:rsid w:val="00FC1A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styleId="nfasis">
    <w:name w:val="Emphasis"/>
    <w:uiPriority w:val="20"/>
    <w:qFormat/>
    <w:rsid w:val="004102E5"/>
    <w:rPr>
      <w:i/>
      <w:iCs/>
    </w:rPr>
  </w:style>
  <w:style w:type="table" w:styleId="Tablaconcuadrcula">
    <w:name w:val="Table Grid"/>
    <w:basedOn w:val="Tablanormal"/>
    <w:uiPriority w:val="59"/>
    <w:rsid w:val="000B3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 w:id="20252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1163</Words>
  <Characters>6401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6</cp:revision>
  <cp:lastPrinted>2018-05-16T16:32:00Z</cp:lastPrinted>
  <dcterms:created xsi:type="dcterms:W3CDTF">2018-10-12T16:03:00Z</dcterms:created>
  <dcterms:modified xsi:type="dcterms:W3CDTF">2018-10-12T16:23:00Z</dcterms:modified>
</cp:coreProperties>
</file>